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98" w:rsidRPr="008B5298" w:rsidRDefault="008B5298" w:rsidP="008B5298">
      <w:pPr>
        <w:shd w:val="clear" w:color="auto" w:fill="F8F9FA"/>
        <w:spacing w:after="0" w:line="450" w:lineRule="atLeast"/>
        <w:rPr>
          <w:rFonts w:ascii="Times New Roman" w:eastAsia="Times New Roman" w:hAnsi="Times New Roman" w:cs="Times New Roman"/>
          <w:i/>
          <w:iCs/>
          <w:color w:val="343A40"/>
          <w:sz w:val="27"/>
          <w:szCs w:val="27"/>
          <w:lang w:eastAsia="ru-RU"/>
        </w:rPr>
      </w:pPr>
      <w:r w:rsidRPr="008B5298">
        <w:rPr>
          <w:rFonts w:ascii="Times New Roman" w:eastAsia="Times New Roman" w:hAnsi="Times New Roman" w:cs="Times New Roman"/>
          <w:i/>
          <w:iCs/>
          <w:color w:val="343A40"/>
          <w:sz w:val="27"/>
          <w:szCs w:val="27"/>
          <w:lang w:eastAsia="ru-RU"/>
        </w:rPr>
        <w:t>Для проведения государственных или муниципальных закупок требуется обоснование цены договора, контракта. Цену рассчитывают одним из методов, указанных в 44-ФЗ.</w:t>
      </w:r>
    </w:p>
    <w:p w:rsidR="008B5298" w:rsidRPr="008B5298" w:rsidRDefault="008B5298" w:rsidP="008B5298">
      <w:pPr>
        <w:shd w:val="clear" w:color="auto" w:fill="F8F9FA"/>
        <w:spacing w:line="240"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3333"/>
          <w:sz w:val="26"/>
          <w:szCs w:val="26"/>
          <w:lang w:eastAsia="ru-RU"/>
        </w:rPr>
        <w:drawing>
          <wp:inline distT="0" distB="0" distL="0" distR="0">
            <wp:extent cx="8763000" cy="5638800"/>
            <wp:effectExtent l="19050" t="0" r="0" b="0"/>
            <wp:docPr id="1" name="Рисунок 1" descr="https://img.ppt.ru/img/88f7d5efcf0a15b34b06f0dd037040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ppt.ru/img/88f7d5efcf0a15b34b06f0dd037040dd.jpg"/>
                    <pic:cNvPicPr>
                      <a:picLocks noChangeAspect="1" noChangeArrowheads="1"/>
                    </pic:cNvPicPr>
                  </pic:nvPicPr>
                  <pic:blipFill>
                    <a:blip r:embed="rId5" cstate="print"/>
                    <a:srcRect/>
                    <a:stretch>
                      <a:fillRect/>
                    </a:stretch>
                  </pic:blipFill>
                  <pic:spPr bwMode="auto">
                    <a:xfrm>
                      <a:off x="0" y="0"/>
                      <a:ext cx="8763000" cy="5638800"/>
                    </a:xfrm>
                    <a:prstGeom prst="rect">
                      <a:avLst/>
                    </a:prstGeom>
                    <a:noFill/>
                    <a:ln w="9525">
                      <a:noFill/>
                      <a:miter lim="800000"/>
                      <a:headEnd/>
                      <a:tailEnd/>
                    </a:ln>
                  </pic:spPr>
                </pic:pic>
              </a:graphicData>
            </a:graphic>
          </wp:inline>
        </w:drawing>
      </w:r>
    </w:p>
    <w:p w:rsidR="008B5298" w:rsidRPr="008B5298" w:rsidRDefault="008B5298" w:rsidP="008B5298">
      <w:pPr>
        <w:shd w:val="clear" w:color="auto" w:fill="FFFFFF"/>
        <w:spacing w:after="180" w:line="390" w:lineRule="atLeast"/>
        <w:rPr>
          <w:rFonts w:ascii="Times New Roman" w:eastAsia="Times New Roman" w:hAnsi="Times New Roman" w:cs="Times New Roman"/>
          <w:b/>
          <w:bCs/>
          <w:color w:val="343A40"/>
          <w:sz w:val="27"/>
          <w:szCs w:val="27"/>
          <w:lang w:eastAsia="ru-RU"/>
        </w:rPr>
      </w:pPr>
      <w:r w:rsidRPr="008B5298">
        <w:rPr>
          <w:rFonts w:ascii="Times New Roman" w:eastAsia="Times New Roman" w:hAnsi="Times New Roman" w:cs="Times New Roman"/>
          <w:b/>
          <w:bCs/>
          <w:color w:val="343A40"/>
          <w:sz w:val="27"/>
          <w:szCs w:val="27"/>
          <w:lang w:eastAsia="ru-RU"/>
        </w:rPr>
        <w:t>Содержание</w:t>
      </w:r>
    </w:p>
    <w:p w:rsidR="008B5298" w:rsidRPr="008B5298" w:rsidRDefault="008B5298" w:rsidP="008B5298">
      <w:pPr>
        <w:numPr>
          <w:ilvl w:val="0"/>
          <w:numId w:val="1"/>
        </w:numPr>
        <w:shd w:val="clear" w:color="auto" w:fill="FFFFFF"/>
        <w:spacing w:before="100" w:beforeAutospacing="1" w:after="100" w:afterAutospacing="1" w:line="390" w:lineRule="atLeast"/>
        <w:ind w:left="0"/>
        <w:rPr>
          <w:rFonts w:ascii="Times New Roman" w:eastAsia="Times New Roman" w:hAnsi="Times New Roman" w:cs="Times New Roman"/>
          <w:color w:val="333333"/>
          <w:sz w:val="24"/>
          <w:szCs w:val="24"/>
          <w:lang w:eastAsia="ru-RU"/>
        </w:rPr>
      </w:pPr>
      <w:hyperlink r:id="rId6" w:anchor="metody_obosnovanija_nmck__kak_vybrat_pravilnyj" w:history="1">
        <w:r w:rsidRPr="008B5298">
          <w:rPr>
            <w:rFonts w:ascii="Times New Roman" w:eastAsia="Times New Roman" w:hAnsi="Times New Roman" w:cs="Times New Roman"/>
            <w:color w:val="339CD3"/>
            <w:sz w:val="24"/>
            <w:szCs w:val="24"/>
            <w:u w:val="single"/>
            <w:lang w:eastAsia="ru-RU"/>
          </w:rPr>
          <w:t xml:space="preserve">Методы обоснования НМЦК: как выбрать </w:t>
        </w:r>
        <w:proofErr w:type="gramStart"/>
        <w:r w:rsidRPr="008B5298">
          <w:rPr>
            <w:rFonts w:ascii="Times New Roman" w:eastAsia="Times New Roman" w:hAnsi="Times New Roman" w:cs="Times New Roman"/>
            <w:color w:val="339CD3"/>
            <w:sz w:val="24"/>
            <w:szCs w:val="24"/>
            <w:u w:val="single"/>
            <w:lang w:eastAsia="ru-RU"/>
          </w:rPr>
          <w:t>правильный</w:t>
        </w:r>
        <w:proofErr w:type="gramEnd"/>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7" w:anchor="obosnovanie_nmck_metodom_sopostavimyh_rynochnyh_cen" w:history="1">
        <w:r w:rsidRPr="008B5298">
          <w:rPr>
            <w:rFonts w:ascii="Times New Roman" w:eastAsia="Times New Roman" w:hAnsi="Times New Roman" w:cs="Times New Roman"/>
            <w:color w:val="339CD3"/>
            <w:sz w:val="24"/>
            <w:szCs w:val="24"/>
            <w:u w:val="single"/>
            <w:lang w:eastAsia="ru-RU"/>
          </w:rPr>
          <w:t>Обоснование НМЦК методом сопоставимых рыночных цен</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8" w:anchor="obosnovanie_nmck_tarifnym_metodom" w:history="1">
        <w:r w:rsidRPr="008B5298">
          <w:rPr>
            <w:rFonts w:ascii="Times New Roman" w:eastAsia="Times New Roman" w:hAnsi="Times New Roman" w:cs="Times New Roman"/>
            <w:color w:val="339CD3"/>
            <w:sz w:val="24"/>
            <w:szCs w:val="24"/>
            <w:u w:val="single"/>
            <w:lang w:eastAsia="ru-RU"/>
          </w:rPr>
          <w:t>Обоснование НМЦК тарифным методом</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9" w:anchor="obosnovanie_nmck_proektno-smetnym_metodom" w:history="1">
        <w:r w:rsidRPr="008B5298">
          <w:rPr>
            <w:rFonts w:ascii="Times New Roman" w:eastAsia="Times New Roman" w:hAnsi="Times New Roman" w:cs="Times New Roman"/>
            <w:color w:val="339CD3"/>
            <w:sz w:val="24"/>
            <w:szCs w:val="24"/>
            <w:u w:val="single"/>
            <w:lang w:eastAsia="ru-RU"/>
          </w:rPr>
          <w:t>Обоснование НМЦК проектно-сметным методом</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0" w:anchor="obosnovanie_nmck_normativnym_metodom" w:history="1">
        <w:r w:rsidRPr="008B5298">
          <w:rPr>
            <w:rFonts w:ascii="Times New Roman" w:eastAsia="Times New Roman" w:hAnsi="Times New Roman" w:cs="Times New Roman"/>
            <w:color w:val="339CD3"/>
            <w:sz w:val="24"/>
            <w:szCs w:val="24"/>
            <w:u w:val="single"/>
            <w:lang w:eastAsia="ru-RU"/>
          </w:rPr>
          <w:t>Обоснование НМЦК нормативным методом</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1" w:anchor="obosnovanie_nmck_zatratnym_metodom" w:history="1">
        <w:r w:rsidRPr="008B5298">
          <w:rPr>
            <w:rFonts w:ascii="Times New Roman" w:eastAsia="Times New Roman" w:hAnsi="Times New Roman" w:cs="Times New Roman"/>
            <w:color w:val="339CD3"/>
            <w:sz w:val="24"/>
            <w:szCs w:val="24"/>
            <w:u w:val="single"/>
            <w:lang w:eastAsia="ru-RU"/>
          </w:rPr>
          <w:t>Обоснование НМЦК затратным методом</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2" w:anchor="zakupki_s_osobennostjami_obosnovanija_nmck" w:history="1">
        <w:r w:rsidRPr="008B5298">
          <w:rPr>
            <w:rFonts w:ascii="Times New Roman" w:eastAsia="Times New Roman" w:hAnsi="Times New Roman" w:cs="Times New Roman"/>
            <w:color w:val="339CD3"/>
            <w:sz w:val="24"/>
            <w:szCs w:val="24"/>
            <w:u w:val="single"/>
            <w:lang w:eastAsia="ru-RU"/>
          </w:rPr>
          <w:t>Закупки с особенностями обоснования НМЦК</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3" w:anchor="v_kakih_sluchajah_nmck_ne_obosnovyvajut" w:history="1">
        <w:r w:rsidRPr="008B5298">
          <w:rPr>
            <w:rFonts w:ascii="Times New Roman" w:eastAsia="Times New Roman" w:hAnsi="Times New Roman" w:cs="Times New Roman"/>
            <w:color w:val="339CD3"/>
            <w:sz w:val="24"/>
            <w:szCs w:val="24"/>
            <w:u w:val="single"/>
            <w:lang w:eastAsia="ru-RU"/>
          </w:rPr>
          <w:t>В каких случаях НМЦК не обосновывают</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4" w:anchor="kak_nakazhut_za_narushenija" w:history="1">
        <w:r w:rsidRPr="008B5298">
          <w:rPr>
            <w:rFonts w:ascii="Times New Roman" w:eastAsia="Times New Roman" w:hAnsi="Times New Roman" w:cs="Times New Roman"/>
            <w:color w:val="339CD3"/>
            <w:sz w:val="24"/>
            <w:szCs w:val="24"/>
            <w:u w:val="single"/>
            <w:lang w:eastAsia="ru-RU"/>
          </w:rPr>
          <w:t>Как накажут за нарушения</w:t>
        </w:r>
      </w:hyperlink>
    </w:p>
    <w:p w:rsidR="008B5298" w:rsidRPr="008B5298" w:rsidRDefault="008B5298" w:rsidP="008B5298">
      <w:pPr>
        <w:numPr>
          <w:ilvl w:val="0"/>
          <w:numId w:val="1"/>
        </w:numPr>
        <w:shd w:val="clear" w:color="auto" w:fill="FFFFFF"/>
        <w:spacing w:after="100" w:afterAutospacing="1" w:line="390" w:lineRule="atLeast"/>
        <w:ind w:left="0"/>
        <w:rPr>
          <w:rFonts w:ascii="Times New Roman" w:eastAsia="Times New Roman" w:hAnsi="Times New Roman" w:cs="Times New Roman"/>
          <w:color w:val="333333"/>
          <w:sz w:val="24"/>
          <w:szCs w:val="24"/>
          <w:lang w:eastAsia="ru-RU"/>
        </w:rPr>
      </w:pPr>
      <w:hyperlink r:id="rId15" w:anchor="vam_v_pomosch_obrazcy__blanki_dlja_skachivanija" w:history="1">
        <w:r w:rsidRPr="008B5298">
          <w:rPr>
            <w:rFonts w:ascii="Times New Roman" w:eastAsia="Times New Roman" w:hAnsi="Times New Roman" w:cs="Times New Roman"/>
            <w:color w:val="339CD3"/>
            <w:sz w:val="24"/>
            <w:szCs w:val="24"/>
            <w:u w:val="single"/>
            <w:lang w:eastAsia="ru-RU"/>
          </w:rPr>
          <w:t>Вам в помощь образцы, бланки для скачивания</w:t>
        </w:r>
      </w:hyperlink>
    </w:p>
    <w:p w:rsidR="008B5298" w:rsidRPr="008B5298" w:rsidRDefault="008B5298" w:rsidP="008B5298">
      <w:pPr>
        <w:shd w:val="clear" w:color="auto" w:fill="FFFFFF"/>
        <w:spacing w:line="240" w:lineRule="auto"/>
        <w:rPr>
          <w:rFonts w:ascii="Times New Roman" w:eastAsia="Times New Roman" w:hAnsi="Times New Roman" w:cs="Times New Roman"/>
          <w:color w:val="333333"/>
          <w:sz w:val="26"/>
          <w:szCs w:val="26"/>
          <w:lang w:eastAsia="ru-RU"/>
        </w:rPr>
      </w:pPr>
      <w:r w:rsidRPr="008B5298">
        <w:rPr>
          <w:rFonts w:ascii="Times New Roman" w:eastAsia="Times New Roman" w:hAnsi="Times New Roman" w:cs="Times New Roman"/>
          <w:color w:val="333333"/>
          <w:sz w:val="26"/>
          <w:szCs w:val="26"/>
          <w:lang w:eastAsia="ru-RU"/>
        </w:rPr>
        <w:t>Показать еще</w:t>
      </w:r>
    </w:p>
    <w:p w:rsidR="008B5298" w:rsidRPr="008B5298" w:rsidRDefault="008B5298" w:rsidP="008B5298">
      <w:pPr>
        <w:shd w:val="clear" w:color="auto" w:fill="FF9900"/>
        <w:spacing w:after="150" w:line="240" w:lineRule="auto"/>
        <w:jc w:val="center"/>
        <w:rPr>
          <w:rFonts w:ascii="Helvetica" w:eastAsia="Times New Roman" w:hAnsi="Helvetica" w:cs="Helvetica"/>
          <w:vanish/>
          <w:color w:val="FFFFFF"/>
          <w:sz w:val="36"/>
          <w:szCs w:val="36"/>
          <w:lang w:eastAsia="ru-RU"/>
        </w:rPr>
      </w:pPr>
      <w:r w:rsidRPr="008B5298">
        <w:rPr>
          <w:rFonts w:ascii="Helvetica" w:eastAsia="Times New Roman" w:hAnsi="Helvetica" w:cs="Helvetica"/>
          <w:vanish/>
          <w:color w:val="FFFFFF"/>
          <w:sz w:val="36"/>
          <w:szCs w:val="36"/>
          <w:lang w:eastAsia="ru-RU"/>
        </w:rPr>
        <w:t>Попробуйте бесплатно систему КОНСУЛЬТАНТПЛЮС</w:t>
      </w:r>
    </w:p>
    <w:p w:rsidR="008B5298" w:rsidRPr="008B5298" w:rsidRDefault="008B5298" w:rsidP="008B5298">
      <w:pPr>
        <w:shd w:val="clear" w:color="auto" w:fill="FF9900"/>
        <w:spacing w:line="240" w:lineRule="auto"/>
        <w:jc w:val="center"/>
        <w:rPr>
          <w:rFonts w:ascii="Times New Roman" w:eastAsia="Times New Roman" w:hAnsi="Times New Roman" w:cs="Times New Roman"/>
          <w:vanish/>
          <w:color w:val="333333"/>
          <w:sz w:val="26"/>
          <w:szCs w:val="26"/>
          <w:lang w:eastAsia="ru-RU"/>
        </w:rPr>
      </w:pPr>
      <w:hyperlink r:id="rId16" w:tgtFrame="_blank" w:history="1">
        <w:r w:rsidRPr="008B5298">
          <w:rPr>
            <w:rFonts w:ascii="Helvetica" w:eastAsia="Times New Roman" w:hAnsi="Helvetica" w:cs="Helvetica"/>
            <w:vanish/>
            <w:color w:val="FFFFFF"/>
            <w:sz w:val="27"/>
            <w:u w:val="single"/>
            <w:lang w:eastAsia="ru-RU"/>
          </w:rPr>
          <w:t>Получить доступ</w:t>
        </w:r>
      </w:hyperlink>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t xml:space="preserve">Методы обоснования НМЦК: как выбрать </w:t>
      </w:r>
      <w:proofErr w:type="gramStart"/>
      <w:r w:rsidRPr="008B5298">
        <w:rPr>
          <w:rFonts w:ascii="Times New Roman" w:eastAsia="Times New Roman" w:hAnsi="Times New Roman" w:cs="Times New Roman"/>
          <w:b/>
          <w:bCs/>
          <w:color w:val="343A40"/>
          <w:sz w:val="42"/>
          <w:szCs w:val="42"/>
          <w:lang w:eastAsia="ru-RU"/>
        </w:rPr>
        <w:t>правильный</w:t>
      </w:r>
      <w:proofErr w:type="gramEnd"/>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 xml:space="preserve">Заказчики проводят </w:t>
      </w:r>
      <w:proofErr w:type="spellStart"/>
      <w:r w:rsidRPr="008B5298">
        <w:rPr>
          <w:rFonts w:ascii="Times New Roman" w:eastAsia="Times New Roman" w:hAnsi="Times New Roman" w:cs="Times New Roman"/>
          <w:color w:val="343A40"/>
          <w:sz w:val="24"/>
          <w:szCs w:val="24"/>
          <w:lang w:eastAsia="ru-RU"/>
        </w:rPr>
        <w:t>госзакупки</w:t>
      </w:r>
      <w:proofErr w:type="spellEnd"/>
      <w:r w:rsidRPr="008B5298">
        <w:rPr>
          <w:rFonts w:ascii="Times New Roman" w:eastAsia="Times New Roman" w:hAnsi="Times New Roman" w:cs="Times New Roman"/>
          <w:color w:val="343A40"/>
          <w:sz w:val="24"/>
          <w:szCs w:val="24"/>
          <w:lang w:eastAsia="ru-RU"/>
        </w:rPr>
        <w:t xml:space="preserve"> по определенной цене — </w:t>
      </w:r>
      <w:proofErr w:type="spellStart"/>
      <w:r w:rsidRPr="008B5298">
        <w:rPr>
          <w:rFonts w:ascii="Times New Roman" w:eastAsia="Times New Roman" w:hAnsi="Times New Roman" w:cs="Times New Roman"/>
          <w:color w:val="343A40"/>
          <w:sz w:val="24"/>
          <w:szCs w:val="24"/>
          <w:lang w:eastAsia="ru-RU"/>
        </w:rPr>
        <w:t>начально</w:t>
      </w:r>
      <w:proofErr w:type="spellEnd"/>
      <w:r w:rsidRPr="008B5298">
        <w:rPr>
          <w:rFonts w:ascii="Times New Roman" w:eastAsia="Times New Roman" w:hAnsi="Times New Roman" w:cs="Times New Roman"/>
          <w:color w:val="343A40"/>
          <w:sz w:val="24"/>
          <w:szCs w:val="24"/>
          <w:lang w:eastAsia="ru-RU"/>
        </w:rPr>
        <w:t xml:space="preserve"> максимальной цене контракта (НМЦК). Цену определяют заранее: еще до проведения заказа, на этапе планирования торгов. Заказчики ежегодно составляют план-график и включают в него все планируемые закупки на очередной финансовый год (</w:t>
      </w:r>
      <w:hyperlink r:id="rId17" w:tgtFrame="_blank" w:history="1">
        <w:r w:rsidRPr="008B5298">
          <w:rPr>
            <w:rFonts w:ascii="Times New Roman" w:eastAsia="Times New Roman" w:hAnsi="Times New Roman" w:cs="Times New Roman"/>
            <w:color w:val="339CD3"/>
            <w:sz w:val="24"/>
            <w:szCs w:val="24"/>
            <w:u w:val="single"/>
            <w:lang w:eastAsia="ru-RU"/>
          </w:rPr>
          <w:t>ст. 16 44-ФЗ</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По правилам, расчет начальной цены называют обоснованием НМЦК. Заказчик определяет, какую сумму он сможет потратить на торги. Основные методы обоснования НМЦК по 44-ФЗ перечислены в </w:t>
      </w:r>
      <w:hyperlink r:id="rId18" w:tgtFrame="_blank" w:history="1">
        <w:r w:rsidRPr="008B5298">
          <w:rPr>
            <w:rFonts w:ascii="Times New Roman" w:eastAsia="Times New Roman" w:hAnsi="Times New Roman" w:cs="Times New Roman"/>
            <w:color w:val="339CD3"/>
            <w:sz w:val="24"/>
            <w:szCs w:val="24"/>
            <w:u w:val="single"/>
            <w:lang w:eastAsia="ru-RU"/>
          </w:rPr>
          <w:t>статье 22 Федеральной контрактной системы</w:t>
        </w:r>
      </w:hyperlink>
      <w:r w:rsidRPr="008B5298">
        <w:rPr>
          <w:rFonts w:ascii="Times New Roman" w:eastAsia="Times New Roman" w:hAnsi="Times New Roman" w:cs="Times New Roman"/>
          <w:color w:val="343A40"/>
          <w:sz w:val="24"/>
          <w:szCs w:val="24"/>
          <w:lang w:eastAsia="ru-RU"/>
        </w:rPr>
        <w:t>. Стоимость закупки рассчитывают методом анализа рынка, проектно-сметным, тарифным, нормативным или затратным методом.</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 xml:space="preserve">Выбор способа расчета напрямую зависит от предмета заказа. Если заказчик выберет неправильный метод, ему грозят жалобы от потенциальных поставщиков и штрафы </w:t>
      </w:r>
      <w:proofErr w:type="gramStart"/>
      <w:r w:rsidRPr="008B5298">
        <w:rPr>
          <w:rFonts w:ascii="Times New Roman" w:eastAsia="Times New Roman" w:hAnsi="Times New Roman" w:cs="Times New Roman"/>
          <w:color w:val="343A40"/>
          <w:sz w:val="24"/>
          <w:szCs w:val="24"/>
          <w:lang w:eastAsia="ru-RU"/>
        </w:rPr>
        <w:t>от</w:t>
      </w:r>
      <w:proofErr w:type="gramEnd"/>
      <w:r w:rsidRPr="008B5298">
        <w:rPr>
          <w:rFonts w:ascii="Times New Roman" w:eastAsia="Times New Roman" w:hAnsi="Times New Roman" w:cs="Times New Roman"/>
          <w:color w:val="343A40"/>
          <w:sz w:val="24"/>
          <w:szCs w:val="24"/>
          <w:lang w:eastAsia="ru-RU"/>
        </w:rPr>
        <w:t xml:space="preserve"> контролеров.</w:t>
      </w:r>
    </w:p>
    <w:p w:rsidR="008B5298" w:rsidRPr="008B5298" w:rsidRDefault="008B5298" w:rsidP="008B5298">
      <w:pPr>
        <w:shd w:val="clear" w:color="auto" w:fill="FBEDB0"/>
        <w:spacing w:after="60" w:line="390" w:lineRule="atLeast"/>
        <w:rPr>
          <w:rFonts w:ascii="Times New Roman" w:eastAsia="Times New Roman" w:hAnsi="Times New Roman" w:cs="Times New Roman"/>
          <w:b/>
          <w:bCs/>
          <w:color w:val="343A40"/>
          <w:sz w:val="27"/>
          <w:szCs w:val="27"/>
          <w:lang w:eastAsia="ru-RU"/>
        </w:rPr>
      </w:pPr>
      <w:r w:rsidRPr="008B5298">
        <w:rPr>
          <w:rFonts w:ascii="Times New Roman" w:eastAsia="Times New Roman" w:hAnsi="Times New Roman" w:cs="Times New Roman"/>
          <w:b/>
          <w:bCs/>
          <w:color w:val="343A40"/>
          <w:sz w:val="27"/>
          <w:szCs w:val="27"/>
          <w:lang w:eastAsia="ru-RU"/>
        </w:rPr>
        <w:t>Важно!</w:t>
      </w:r>
    </w:p>
    <w:p w:rsidR="008B5298" w:rsidRPr="008B5298" w:rsidRDefault="008B5298" w:rsidP="008B5298">
      <w:pPr>
        <w:shd w:val="clear" w:color="auto" w:fill="FBEDB0"/>
        <w:spacing w:line="450" w:lineRule="atLeast"/>
        <w:rPr>
          <w:rFonts w:ascii="Times New Roman" w:eastAsia="Times New Roman" w:hAnsi="Times New Roman" w:cs="Times New Roman"/>
          <w:color w:val="343A40"/>
          <w:sz w:val="27"/>
          <w:szCs w:val="27"/>
          <w:lang w:eastAsia="ru-RU"/>
        </w:rPr>
      </w:pPr>
      <w:r w:rsidRPr="008B5298">
        <w:rPr>
          <w:rFonts w:ascii="Times New Roman" w:eastAsia="Times New Roman" w:hAnsi="Times New Roman" w:cs="Times New Roman"/>
          <w:color w:val="343A40"/>
          <w:sz w:val="27"/>
          <w:szCs w:val="27"/>
          <w:lang w:eastAsia="ru-RU"/>
        </w:rPr>
        <w:t>Начальную (максимальную) цену указывают и в плане-графике, и в извещении и документах заказа, и в предложении принять участие в закрытой процедуре (</w:t>
      </w:r>
      <w:hyperlink r:id="rId19" w:tgtFrame="_blank" w:history="1">
        <w:r w:rsidRPr="008B5298">
          <w:rPr>
            <w:rFonts w:ascii="Times New Roman" w:eastAsia="Times New Roman" w:hAnsi="Times New Roman" w:cs="Times New Roman"/>
            <w:color w:val="339CD3"/>
            <w:sz w:val="27"/>
            <w:u w:val="single"/>
            <w:lang w:eastAsia="ru-RU"/>
          </w:rPr>
          <w:t>п. 9 ч. 1 ст. 42 44-ФЗ</w:t>
        </w:r>
      </w:hyperlink>
      <w:r w:rsidRPr="008B5298">
        <w:rPr>
          <w:rFonts w:ascii="Times New Roman" w:eastAsia="Times New Roman" w:hAnsi="Times New Roman" w:cs="Times New Roman"/>
          <w:color w:val="343A40"/>
          <w:sz w:val="27"/>
          <w:szCs w:val="27"/>
          <w:lang w:eastAsia="ru-RU"/>
        </w:rPr>
        <w:t xml:space="preserve">). Если заказчик заключает контракт с единственным поставщиком, он рассчитывает не НМЦК, а цену контракта с </w:t>
      </w:r>
      <w:proofErr w:type="spellStart"/>
      <w:r w:rsidRPr="008B5298">
        <w:rPr>
          <w:rFonts w:ascii="Times New Roman" w:eastAsia="Times New Roman" w:hAnsi="Times New Roman" w:cs="Times New Roman"/>
          <w:color w:val="343A40"/>
          <w:sz w:val="27"/>
          <w:szCs w:val="27"/>
          <w:lang w:eastAsia="ru-RU"/>
        </w:rPr>
        <w:t>едпоставщиком</w:t>
      </w:r>
      <w:proofErr w:type="spellEnd"/>
      <w:r w:rsidRPr="008B5298">
        <w:rPr>
          <w:rFonts w:ascii="Times New Roman" w:eastAsia="Times New Roman" w:hAnsi="Times New Roman" w:cs="Times New Roman"/>
          <w:color w:val="343A40"/>
          <w:sz w:val="27"/>
          <w:szCs w:val="27"/>
          <w:lang w:eastAsia="ru-RU"/>
        </w:rPr>
        <w:t xml:space="preserve">. Но НМЦК и цена контракта с единственным поставщиком определяются по одним и тем же правилам из </w:t>
      </w:r>
      <w:proofErr w:type="gramStart"/>
      <w:r w:rsidRPr="008B5298">
        <w:rPr>
          <w:rFonts w:ascii="Times New Roman" w:eastAsia="Times New Roman" w:hAnsi="Times New Roman" w:cs="Times New Roman"/>
          <w:color w:val="343A40"/>
          <w:sz w:val="27"/>
          <w:szCs w:val="27"/>
          <w:lang w:eastAsia="ru-RU"/>
        </w:rPr>
        <w:t>ч</w:t>
      </w:r>
      <w:proofErr w:type="gramEnd"/>
      <w:r w:rsidRPr="008B5298">
        <w:rPr>
          <w:rFonts w:ascii="Times New Roman" w:eastAsia="Times New Roman" w:hAnsi="Times New Roman" w:cs="Times New Roman"/>
          <w:color w:val="343A40"/>
          <w:sz w:val="27"/>
          <w:szCs w:val="27"/>
          <w:lang w:eastAsia="ru-RU"/>
        </w:rPr>
        <w:t>. 1 ст. 22 44-ФЗ.</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В таблице обоснования цены контракта по 44-ФЗ разобрали основные методы расчета.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62"/>
        <w:gridCol w:w="5519"/>
        <w:gridCol w:w="1674"/>
      </w:tblGrid>
      <w:tr w:rsidR="008B5298" w:rsidRPr="008B5298" w:rsidTr="008B5298">
        <w:trPr>
          <w:tblHeader/>
        </w:trPr>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b/>
                <w:bCs/>
                <w:color w:val="343A40"/>
                <w:sz w:val="23"/>
                <w:szCs w:val="23"/>
                <w:lang w:eastAsia="ru-RU"/>
              </w:rPr>
            </w:pPr>
            <w:r w:rsidRPr="008B5298">
              <w:rPr>
                <w:rFonts w:ascii="Times New Roman" w:eastAsia="Times New Roman" w:hAnsi="Times New Roman" w:cs="Times New Roman"/>
                <w:b/>
                <w:bCs/>
                <w:color w:val="343A40"/>
                <w:sz w:val="23"/>
                <w:szCs w:val="23"/>
                <w:lang w:eastAsia="ru-RU"/>
              </w:rPr>
              <w:t>Название метода</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b/>
                <w:bCs/>
                <w:color w:val="343A40"/>
                <w:sz w:val="23"/>
                <w:szCs w:val="23"/>
                <w:lang w:eastAsia="ru-RU"/>
              </w:rPr>
            </w:pPr>
            <w:r w:rsidRPr="008B5298">
              <w:rPr>
                <w:rFonts w:ascii="Times New Roman" w:eastAsia="Times New Roman" w:hAnsi="Times New Roman" w:cs="Times New Roman"/>
                <w:b/>
                <w:bCs/>
                <w:color w:val="343A40"/>
                <w:sz w:val="23"/>
                <w:szCs w:val="23"/>
                <w:lang w:eastAsia="ru-RU"/>
              </w:rPr>
              <w:t>Применение</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b/>
                <w:bCs/>
                <w:color w:val="343A40"/>
                <w:sz w:val="23"/>
                <w:szCs w:val="23"/>
                <w:lang w:eastAsia="ru-RU"/>
              </w:rPr>
            </w:pPr>
            <w:r w:rsidRPr="008B5298">
              <w:rPr>
                <w:rFonts w:ascii="Times New Roman" w:eastAsia="Times New Roman" w:hAnsi="Times New Roman" w:cs="Times New Roman"/>
                <w:b/>
                <w:bCs/>
                <w:color w:val="343A40"/>
                <w:sz w:val="23"/>
                <w:szCs w:val="23"/>
                <w:lang w:eastAsia="ru-RU"/>
              </w:rPr>
              <w:t>Норматив</w:t>
            </w:r>
          </w:p>
        </w:tc>
      </w:tr>
      <w:tr w:rsidR="008B5298" w:rsidRPr="008B5298" w:rsidTr="008B5298">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lang w:eastAsia="ru-RU"/>
              </w:rPr>
              <w:t xml:space="preserve">Анализ рынка (метод сопоставимых рыночных </w:t>
            </w:r>
            <w:r w:rsidRPr="008B5298">
              <w:rPr>
                <w:rFonts w:ascii="Times New Roman" w:eastAsia="Times New Roman" w:hAnsi="Times New Roman" w:cs="Times New Roman"/>
                <w:color w:val="343A40"/>
                <w:sz w:val="20"/>
                <w:lang w:eastAsia="ru-RU"/>
              </w:rPr>
              <w:lastRenderedPageBreak/>
              <w:t>цен)</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lastRenderedPageBreak/>
              <w:t xml:space="preserve">Применяют, когда необходимо сравнить цены на идентичные товары, работы и услуги и вывести </w:t>
            </w:r>
            <w:proofErr w:type="gramStart"/>
            <w:r w:rsidRPr="008B5298">
              <w:rPr>
                <w:rFonts w:ascii="Times New Roman" w:eastAsia="Times New Roman" w:hAnsi="Times New Roman" w:cs="Times New Roman"/>
                <w:color w:val="343A40"/>
                <w:sz w:val="20"/>
                <w:szCs w:val="20"/>
                <w:lang w:eastAsia="ru-RU"/>
              </w:rPr>
              <w:t>актуальную</w:t>
            </w:r>
            <w:proofErr w:type="gramEnd"/>
            <w:r w:rsidRPr="008B5298">
              <w:rPr>
                <w:rFonts w:ascii="Times New Roman" w:eastAsia="Times New Roman" w:hAnsi="Times New Roman" w:cs="Times New Roman"/>
                <w:color w:val="343A40"/>
                <w:sz w:val="20"/>
                <w:szCs w:val="20"/>
                <w:lang w:eastAsia="ru-RU"/>
              </w:rPr>
              <w:t xml:space="preserve"> </w:t>
            </w:r>
            <w:r w:rsidRPr="008B5298">
              <w:rPr>
                <w:rFonts w:ascii="Times New Roman" w:eastAsia="Times New Roman" w:hAnsi="Times New Roman" w:cs="Times New Roman"/>
                <w:color w:val="343A40"/>
                <w:sz w:val="20"/>
                <w:szCs w:val="20"/>
                <w:lang w:eastAsia="ru-RU"/>
              </w:rPr>
              <w:lastRenderedPageBreak/>
              <w:t>НМЦК</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lastRenderedPageBreak/>
              <w:t>Ч. 2-6 ст. 22 44-ФЗ</w:t>
            </w:r>
          </w:p>
        </w:tc>
      </w:tr>
      <w:tr w:rsidR="008B5298" w:rsidRPr="008B5298" w:rsidTr="008B5298">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lang w:eastAsia="ru-RU"/>
              </w:rPr>
              <w:lastRenderedPageBreak/>
              <w:t>Нормативный</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Применяют, если вышестоящая организация установила для заказчика предельные цены</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Ч. 7 ст. 22 44-ФЗ</w:t>
            </w:r>
          </w:p>
        </w:tc>
      </w:tr>
      <w:tr w:rsidR="008B5298" w:rsidRPr="008B5298" w:rsidTr="008B5298">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lang w:eastAsia="ru-RU"/>
              </w:rPr>
              <w:t>Тарифный</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Используют для регулируемых объектов — если для предмета заказа установлены определенные тарифы</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Ч. 8 ст. 22 44-ФЗ</w:t>
            </w:r>
          </w:p>
        </w:tc>
      </w:tr>
      <w:tr w:rsidR="008B5298" w:rsidRPr="008B5298" w:rsidTr="008B5298">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lang w:eastAsia="ru-RU"/>
              </w:rPr>
              <w:t>Проектно-сметный</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Рассчитывают цены для строительных контрактов: если объект закупки — строительство, реконструкция, ремонт, то для него составляется проект и сметная документация</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Ч. 9, 9.1, 9.2 ст. 22 44-ФЗ</w:t>
            </w:r>
          </w:p>
        </w:tc>
      </w:tr>
      <w:tr w:rsidR="008B5298" w:rsidRPr="008B5298" w:rsidTr="008B5298">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lang w:eastAsia="ru-RU"/>
              </w:rPr>
              <w:t>Затратный</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Используют, если не подходят другие способы расчета, но надо обосновать, почему другие методы не применяются</w:t>
            </w:r>
          </w:p>
        </w:tc>
        <w:tc>
          <w:tcPr>
            <w:tcW w:w="0" w:type="auto"/>
            <w:tcBorders>
              <w:top w:val="single" w:sz="6" w:space="0" w:color="CED4DA"/>
              <w:left w:val="single" w:sz="6" w:space="0" w:color="CED4DA"/>
              <w:bottom w:val="single" w:sz="6" w:space="0" w:color="CED4DA"/>
              <w:right w:val="single" w:sz="6" w:space="0" w:color="CED4DA"/>
            </w:tcBorders>
            <w:shd w:val="clear" w:color="auto" w:fill="FFFFFF"/>
            <w:tcMar>
              <w:top w:w="90" w:type="dxa"/>
              <w:left w:w="150" w:type="dxa"/>
              <w:bottom w:w="90" w:type="dxa"/>
              <w:right w:w="150" w:type="dxa"/>
            </w:tcMar>
            <w:hideMark/>
          </w:tcPr>
          <w:p w:rsidR="008B5298" w:rsidRPr="008B5298" w:rsidRDefault="008B5298" w:rsidP="008B5298">
            <w:pPr>
              <w:spacing w:before="100" w:beforeAutospacing="1" w:after="100" w:afterAutospacing="1" w:line="390" w:lineRule="atLeast"/>
              <w:rPr>
                <w:rFonts w:ascii="Times New Roman" w:eastAsia="Times New Roman" w:hAnsi="Times New Roman" w:cs="Times New Roman"/>
                <w:color w:val="343A40"/>
                <w:sz w:val="20"/>
                <w:szCs w:val="20"/>
                <w:lang w:eastAsia="ru-RU"/>
              </w:rPr>
            </w:pPr>
            <w:r w:rsidRPr="008B5298">
              <w:rPr>
                <w:rFonts w:ascii="Times New Roman" w:eastAsia="Times New Roman" w:hAnsi="Times New Roman" w:cs="Times New Roman"/>
                <w:color w:val="343A40"/>
                <w:sz w:val="20"/>
                <w:szCs w:val="20"/>
                <w:lang w:eastAsia="ru-RU"/>
              </w:rPr>
              <w:t>Ч. 10-12 ст. 22 44-ФЗ</w:t>
            </w:r>
          </w:p>
        </w:tc>
      </w:tr>
    </w:tbl>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Приоритетным способом расчета начальной цены является анализ рынка. Заказчики используют его для определения НМЦК для большинства закупок. Но выбор способа расчета всегда определяется спецификой закупки и обязательно подтверждается документами. Форма и порядок обоснования НМЦК закреплены в </w:t>
      </w:r>
      <w:hyperlink r:id="rId20" w:tgtFrame="_blank" w:history="1">
        <w:r w:rsidRPr="008B5298">
          <w:rPr>
            <w:rFonts w:ascii="Times New Roman" w:eastAsia="Times New Roman" w:hAnsi="Times New Roman" w:cs="Times New Roman"/>
            <w:color w:val="339CD3"/>
            <w:sz w:val="24"/>
            <w:szCs w:val="24"/>
            <w:u w:val="single"/>
            <w:lang w:eastAsia="ru-RU"/>
          </w:rPr>
          <w:t>Приказе Минэкономразвития № 567 от 02.10.2013</w:t>
        </w:r>
      </w:hyperlink>
      <w:r w:rsidRPr="008B5298">
        <w:rPr>
          <w:rFonts w:ascii="Times New Roman" w:eastAsia="Times New Roman" w:hAnsi="Times New Roman" w:cs="Times New Roman"/>
          <w:color w:val="343A40"/>
          <w:sz w:val="24"/>
          <w:szCs w:val="24"/>
          <w:lang w:eastAsia="ru-RU"/>
        </w:rPr>
        <w:t>, в специальных методических рекомендациях.</w:t>
      </w:r>
    </w:p>
    <w:p w:rsidR="008B5298" w:rsidRPr="008B5298" w:rsidRDefault="008B5298" w:rsidP="008B5298">
      <w:pPr>
        <w:shd w:val="clear" w:color="auto" w:fill="E3F5FF"/>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9CD3"/>
          <w:sz w:val="26"/>
          <w:szCs w:val="26"/>
          <w:lang w:eastAsia="ru-RU"/>
        </w:rPr>
        <w:lastRenderedPageBreak/>
        <w:drawing>
          <wp:inline distT="0" distB="0" distL="0" distR="0">
            <wp:extent cx="18402300" cy="11544300"/>
            <wp:effectExtent l="19050" t="0" r="0" b="0"/>
            <wp:docPr id="2" name="Рисунок 2" descr="Форма обоснования НМЦК">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а обоснования НМЦК">
                      <a:hlinkClick r:id="rId21"/>
                    </pic:cNvPr>
                    <pic:cNvPicPr>
                      <a:picLocks noChangeAspect="1" noChangeArrowheads="1"/>
                    </pic:cNvPicPr>
                  </pic:nvPicPr>
                  <pic:blipFill>
                    <a:blip r:embed="rId22" cstate="print"/>
                    <a:srcRect/>
                    <a:stretch>
                      <a:fillRect/>
                    </a:stretch>
                  </pic:blipFill>
                  <pic:spPr bwMode="auto">
                    <a:xfrm>
                      <a:off x="0" y="0"/>
                      <a:ext cx="18402300" cy="11544300"/>
                    </a:xfrm>
                    <a:prstGeom prst="rect">
                      <a:avLst/>
                    </a:prstGeom>
                    <a:noFill/>
                    <a:ln w="9525">
                      <a:noFill/>
                      <a:miter lim="800000"/>
                      <a:headEnd/>
                      <a:tailEnd/>
                    </a:ln>
                  </pic:spPr>
                </pic:pic>
              </a:graphicData>
            </a:graphic>
          </wp:inline>
        </w:drawing>
      </w:r>
    </w:p>
    <w:p w:rsidR="008B5298" w:rsidRPr="008B5298" w:rsidRDefault="008B5298" w:rsidP="008B5298">
      <w:pPr>
        <w:shd w:val="clear" w:color="auto" w:fill="F3F1FF"/>
        <w:spacing w:after="0"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lastRenderedPageBreak/>
        <w:t xml:space="preserve">Используйте бесплатно инструкции от экспертов </w:t>
      </w:r>
      <w:proofErr w:type="spellStart"/>
      <w:r w:rsidRPr="008B5298">
        <w:rPr>
          <w:rFonts w:ascii="Times New Roman" w:eastAsia="Times New Roman" w:hAnsi="Times New Roman" w:cs="Times New Roman"/>
          <w:color w:val="343A40"/>
          <w:sz w:val="24"/>
          <w:szCs w:val="24"/>
          <w:lang w:eastAsia="ru-RU"/>
        </w:rPr>
        <w:t>КонсультантПлюс</w:t>
      </w:r>
      <w:proofErr w:type="spellEnd"/>
      <w:r w:rsidRPr="008B5298">
        <w:rPr>
          <w:rFonts w:ascii="Times New Roman" w:eastAsia="Times New Roman" w:hAnsi="Times New Roman" w:cs="Times New Roman"/>
          <w:color w:val="343A40"/>
          <w:sz w:val="24"/>
          <w:szCs w:val="24"/>
          <w:lang w:eastAsia="ru-RU"/>
        </w:rPr>
        <w:t>, чтобы узнать, </w:t>
      </w:r>
      <w:hyperlink r:id="rId23" w:tgtFrame="_blank" w:history="1">
        <w:r w:rsidRPr="008B5298">
          <w:rPr>
            <w:rFonts w:ascii="Times New Roman" w:eastAsia="Times New Roman" w:hAnsi="Times New Roman" w:cs="Times New Roman"/>
            <w:b/>
            <w:bCs/>
            <w:color w:val="339CD3"/>
            <w:sz w:val="24"/>
            <w:szCs w:val="24"/>
            <w:u w:val="single"/>
            <w:lang w:eastAsia="ru-RU"/>
          </w:rPr>
          <w:t>как рассчитать НМЦК при закупке лекарственных препаратов по закону 44-ФЗ</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shd w:val="clear" w:color="auto" w:fill="F3F1FF"/>
        <w:spacing w:line="240" w:lineRule="auto"/>
        <w:rPr>
          <w:rFonts w:ascii="Times New Roman" w:eastAsia="Times New Roman" w:hAnsi="Times New Roman" w:cs="Times New Roman"/>
          <w:color w:val="333333"/>
          <w:sz w:val="26"/>
          <w:szCs w:val="26"/>
          <w:lang w:eastAsia="ru-RU"/>
        </w:rPr>
      </w:pPr>
      <w:hyperlink r:id="rId24" w:tgtFrame="_blank" w:history="1">
        <w:r w:rsidRPr="008B5298">
          <w:rPr>
            <w:rFonts w:ascii="Times New Roman" w:eastAsia="Times New Roman" w:hAnsi="Times New Roman" w:cs="Times New Roman"/>
            <w:b/>
            <w:bCs/>
            <w:color w:val="FFFFFF"/>
            <w:sz w:val="24"/>
            <w:szCs w:val="24"/>
            <w:u w:val="single"/>
            <w:lang w:eastAsia="ru-RU"/>
          </w:rPr>
          <w:t xml:space="preserve">Для чтения получите доступ в </w:t>
        </w:r>
        <w:proofErr w:type="spellStart"/>
        <w:r w:rsidRPr="008B5298">
          <w:rPr>
            <w:rFonts w:ascii="Times New Roman" w:eastAsia="Times New Roman" w:hAnsi="Times New Roman" w:cs="Times New Roman"/>
            <w:b/>
            <w:bCs/>
            <w:color w:val="FFFFFF"/>
            <w:sz w:val="24"/>
            <w:szCs w:val="24"/>
            <w:u w:val="single"/>
            <w:lang w:eastAsia="ru-RU"/>
          </w:rPr>
          <w:t>КонсультантПлюс</w:t>
        </w:r>
        <w:proofErr w:type="spellEnd"/>
        <w:r w:rsidRPr="008B5298">
          <w:rPr>
            <w:rFonts w:ascii="Times New Roman" w:eastAsia="Times New Roman" w:hAnsi="Times New Roman" w:cs="Times New Roman"/>
            <w:b/>
            <w:bCs/>
            <w:color w:val="FFFFFF"/>
            <w:sz w:val="24"/>
            <w:szCs w:val="24"/>
            <w:u w:val="single"/>
            <w:lang w:eastAsia="ru-RU"/>
          </w:rPr>
          <w:t xml:space="preserve"> (бесплатно на 2 дня)</w:t>
        </w:r>
      </w:hyperlink>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t>Обоснование НМЦК методом сопоставимых рыночных цен</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Этот вид обоснования начальной максимальной цены (44-ФЗ) используют, если нет оснований для расчета НМЦК другими способами (</w:t>
      </w:r>
      <w:proofErr w:type="gramStart"/>
      <w:r w:rsidRPr="008B5298">
        <w:rPr>
          <w:rFonts w:ascii="Times New Roman" w:eastAsia="Times New Roman" w:hAnsi="Times New Roman" w:cs="Times New Roman"/>
          <w:color w:val="343A40"/>
          <w:sz w:val="24"/>
          <w:szCs w:val="24"/>
          <w:lang w:eastAsia="ru-RU"/>
        </w:rPr>
        <w:t>ч</w:t>
      </w:r>
      <w:proofErr w:type="gramEnd"/>
      <w:r w:rsidRPr="008B5298">
        <w:rPr>
          <w:rFonts w:ascii="Times New Roman" w:eastAsia="Times New Roman" w:hAnsi="Times New Roman" w:cs="Times New Roman"/>
          <w:color w:val="343A40"/>
          <w:sz w:val="24"/>
          <w:szCs w:val="24"/>
          <w:lang w:eastAsia="ru-RU"/>
        </w:rPr>
        <w:t>. 6 ст. 22 44-ФЗ). Общий порядок обоснования методом анализа рынка:</w:t>
      </w:r>
    </w:p>
    <w:p w:rsidR="008B5298" w:rsidRPr="008B5298" w:rsidRDefault="008B5298" w:rsidP="008B5298">
      <w:pPr>
        <w:numPr>
          <w:ilvl w:val="0"/>
          <w:numId w:val="2"/>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Определяем товары, работы и услуги, которые идентичны предмету заказа. Если идентичных товаров нет, находим однородные — те, которыми заменяют товар.</w:t>
      </w:r>
    </w:p>
    <w:p w:rsidR="008B5298" w:rsidRPr="008B5298" w:rsidRDefault="008B5298" w:rsidP="008B5298">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 xml:space="preserve">Узнаем информацию о ценах из любых доступных источников. Заказчики используют для расчета ценовые предложения и </w:t>
      </w:r>
      <w:proofErr w:type="spellStart"/>
      <w:r w:rsidRPr="008B5298">
        <w:rPr>
          <w:rFonts w:ascii="Times New Roman" w:eastAsia="Times New Roman" w:hAnsi="Times New Roman" w:cs="Times New Roman"/>
          <w:color w:val="343A40"/>
          <w:sz w:val="24"/>
          <w:szCs w:val="24"/>
          <w:lang w:eastAsia="ru-RU"/>
        </w:rPr>
        <w:t>прайсы</w:t>
      </w:r>
      <w:proofErr w:type="spellEnd"/>
      <w:r w:rsidRPr="008B5298">
        <w:rPr>
          <w:rFonts w:ascii="Times New Roman" w:eastAsia="Times New Roman" w:hAnsi="Times New Roman" w:cs="Times New Roman"/>
          <w:color w:val="343A40"/>
          <w:sz w:val="24"/>
          <w:szCs w:val="24"/>
          <w:lang w:eastAsia="ru-RU"/>
        </w:rPr>
        <w:t xml:space="preserve"> от поставщиков, сведения с официальных сайтов и других открытых источников, данные из исполненных аналогичных контрактов, опубликованных в реестре контрактов Единой информационной системы. Кроме того, у покупателя есть возможность </w:t>
      </w:r>
      <w:proofErr w:type="gramStart"/>
      <w:r w:rsidRPr="008B5298">
        <w:rPr>
          <w:rFonts w:ascii="Times New Roman" w:eastAsia="Times New Roman" w:hAnsi="Times New Roman" w:cs="Times New Roman"/>
          <w:color w:val="343A40"/>
          <w:sz w:val="24"/>
          <w:szCs w:val="24"/>
          <w:lang w:eastAsia="ru-RU"/>
        </w:rPr>
        <w:t>разместить запрос</w:t>
      </w:r>
      <w:proofErr w:type="gramEnd"/>
      <w:r w:rsidRPr="008B5298">
        <w:rPr>
          <w:rFonts w:ascii="Times New Roman" w:eastAsia="Times New Roman" w:hAnsi="Times New Roman" w:cs="Times New Roman"/>
          <w:color w:val="343A40"/>
          <w:sz w:val="24"/>
          <w:szCs w:val="24"/>
          <w:lang w:eastAsia="ru-RU"/>
        </w:rPr>
        <w:t xml:space="preserve"> цен в ЕИС.</w:t>
      </w:r>
    </w:p>
    <w:p w:rsidR="008B5298" w:rsidRPr="008B5298" w:rsidRDefault="008B5298" w:rsidP="008B5298">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Выявляем однородность полученных цен.</w:t>
      </w:r>
    </w:p>
    <w:p w:rsidR="008B5298" w:rsidRPr="008B5298" w:rsidRDefault="008B5298" w:rsidP="008B5298">
      <w:pPr>
        <w:numPr>
          <w:ilvl w:val="0"/>
          <w:numId w:val="2"/>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Рассчитываем НМЦК по специальной формуле.</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Информацию о стоимости товаров, работ и услуг необходимо привести в соответствие с условиями заказа — скорректировать с учетом срока исполнения контракта, количественных характеристик, места поставки, системы налогообложения. К расчетам применяются специальные коэффициенты и индексы для пересчета ценовых показателей. Если разместили в ЕИС запрос ценовых сведений, корректировать условия не требуется. Но только если ценовая информация получена в пределах полугода до даты обоснования НМЦ (п. 3.22 Методических рекомендаций № 567).</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Однородность определяют, используя коэффициент вариации (п. 3.20 Методических рекомендаций № 567):</w:t>
      </w:r>
    </w:p>
    <w:p w:rsidR="008B5298" w:rsidRPr="008B5298" w:rsidRDefault="008B5298" w:rsidP="008B5298">
      <w:pPr>
        <w:shd w:val="clear" w:color="auto" w:fill="E3F5FF"/>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9CD3"/>
          <w:sz w:val="26"/>
          <w:szCs w:val="26"/>
          <w:lang w:eastAsia="ru-RU"/>
        </w:rPr>
        <w:lastRenderedPageBreak/>
        <w:drawing>
          <wp:inline distT="0" distB="0" distL="0" distR="0">
            <wp:extent cx="5600700" cy="3209925"/>
            <wp:effectExtent l="19050" t="0" r="0" b="0"/>
            <wp:docPr id="3" name="Рисунок 3" descr="формула расчета НМЦК">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рмула расчета НМЦК">
                      <a:hlinkClick r:id="rId25"/>
                    </pic:cNvPr>
                    <pic:cNvPicPr>
                      <a:picLocks noChangeAspect="1" noChangeArrowheads="1"/>
                    </pic:cNvPicPr>
                  </pic:nvPicPr>
                  <pic:blipFill>
                    <a:blip r:embed="rId26" cstate="print"/>
                    <a:srcRect/>
                    <a:stretch>
                      <a:fillRect/>
                    </a:stretch>
                  </pic:blipFill>
                  <pic:spPr bwMode="auto">
                    <a:xfrm>
                      <a:off x="0" y="0"/>
                      <a:ext cx="5600700" cy="3209925"/>
                    </a:xfrm>
                    <a:prstGeom prst="rect">
                      <a:avLst/>
                    </a:prstGeom>
                    <a:noFill/>
                    <a:ln w="9525">
                      <a:noFill/>
                      <a:miter lim="800000"/>
                      <a:headEnd/>
                      <a:tailEnd/>
                    </a:ln>
                  </pic:spPr>
                </pic:pic>
              </a:graphicData>
            </a:graphic>
          </wp:inline>
        </w:drawing>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Для расчета НМЦ по формуле понадобятся минимум 3 ценовых предложения от потенциальных поставщиков (п. 3.21 Методических рекомендаций).</w:t>
      </w:r>
    </w:p>
    <w:p w:rsidR="008B5298" w:rsidRPr="008B5298" w:rsidRDefault="008B5298" w:rsidP="008B5298">
      <w:pPr>
        <w:shd w:val="clear" w:color="auto" w:fill="E3F5FF"/>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9CD3"/>
          <w:sz w:val="26"/>
          <w:szCs w:val="26"/>
          <w:lang w:eastAsia="ru-RU"/>
        </w:rPr>
        <w:drawing>
          <wp:inline distT="0" distB="0" distL="0" distR="0">
            <wp:extent cx="12096750" cy="3943350"/>
            <wp:effectExtent l="19050" t="0" r="0" b="0"/>
            <wp:docPr id="4" name="Рисунок 4" descr="расчет НМЦК">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чет НМЦК">
                      <a:hlinkClick r:id="rId27"/>
                    </pic:cNvPr>
                    <pic:cNvPicPr>
                      <a:picLocks noChangeAspect="1" noChangeArrowheads="1"/>
                    </pic:cNvPicPr>
                  </pic:nvPicPr>
                  <pic:blipFill>
                    <a:blip r:embed="rId28" cstate="print"/>
                    <a:srcRect/>
                    <a:stretch>
                      <a:fillRect/>
                    </a:stretch>
                  </pic:blipFill>
                  <pic:spPr bwMode="auto">
                    <a:xfrm>
                      <a:off x="0" y="0"/>
                      <a:ext cx="12096750" cy="3943350"/>
                    </a:xfrm>
                    <a:prstGeom prst="rect">
                      <a:avLst/>
                    </a:prstGeom>
                    <a:noFill/>
                    <a:ln w="9525">
                      <a:noFill/>
                      <a:miter lim="800000"/>
                      <a:headEnd/>
                      <a:tailEnd/>
                    </a:ln>
                  </pic:spPr>
                </pic:pic>
              </a:graphicData>
            </a:graphic>
          </wp:inline>
        </w:drawing>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Актуальный пример обоснования НМЦ анализом рынка.</w:t>
      </w:r>
    </w:p>
    <w:p w:rsidR="008B5298" w:rsidRPr="008B5298" w:rsidRDefault="008B5298" w:rsidP="008B5298">
      <w:pPr>
        <w:shd w:val="clear" w:color="auto" w:fill="E3F5FF"/>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9CD3"/>
          <w:sz w:val="26"/>
          <w:szCs w:val="26"/>
          <w:lang w:eastAsia="ru-RU"/>
        </w:rPr>
        <w:lastRenderedPageBreak/>
        <w:drawing>
          <wp:inline distT="0" distB="0" distL="0" distR="0">
            <wp:extent cx="10677525" cy="7343775"/>
            <wp:effectExtent l="19050" t="0" r="9525" b="0"/>
            <wp:docPr id="5" name="Рисунок 5" descr="пример определения начальной максимальной цены контракта по 44-ФЗ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 определения начальной максимальной цены контракта по 44-ФЗ ">
                      <a:hlinkClick r:id="rId29"/>
                    </pic:cNvPr>
                    <pic:cNvPicPr>
                      <a:picLocks noChangeAspect="1" noChangeArrowheads="1"/>
                    </pic:cNvPicPr>
                  </pic:nvPicPr>
                  <pic:blipFill>
                    <a:blip r:embed="rId30" cstate="print"/>
                    <a:srcRect/>
                    <a:stretch>
                      <a:fillRect/>
                    </a:stretch>
                  </pic:blipFill>
                  <pic:spPr bwMode="auto">
                    <a:xfrm>
                      <a:off x="0" y="0"/>
                      <a:ext cx="10677525" cy="7343775"/>
                    </a:xfrm>
                    <a:prstGeom prst="rect">
                      <a:avLst/>
                    </a:prstGeom>
                    <a:noFill/>
                    <a:ln w="9525">
                      <a:noFill/>
                      <a:miter lim="800000"/>
                      <a:headEnd/>
                      <a:tailEnd/>
                    </a:ln>
                  </pic:spPr>
                </pic:pic>
              </a:graphicData>
            </a:graphic>
          </wp:inline>
        </w:drawing>
      </w:r>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t>Обоснование НМЦК тарифным методом</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Тарифный метод применяют, если стоимость предмета заказа регулируется государством или местными властями. Обычно такой способ используют при закупке коммунальных услуг:</w:t>
      </w:r>
    </w:p>
    <w:p w:rsidR="008B5298" w:rsidRPr="008B5298" w:rsidRDefault="008B5298" w:rsidP="008B5298">
      <w:pPr>
        <w:numPr>
          <w:ilvl w:val="0"/>
          <w:numId w:val="3"/>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lastRenderedPageBreak/>
        <w:t>водоснабжение и водоотведение (</w:t>
      </w:r>
      <w:hyperlink r:id="rId31" w:tgtFrame="_blank" w:history="1">
        <w:proofErr w:type="gramStart"/>
        <w:r w:rsidRPr="008B5298">
          <w:rPr>
            <w:rFonts w:ascii="Times New Roman" w:eastAsia="Times New Roman" w:hAnsi="Times New Roman" w:cs="Times New Roman"/>
            <w:color w:val="339CD3"/>
            <w:sz w:val="24"/>
            <w:szCs w:val="24"/>
            <w:u w:val="single"/>
            <w:lang w:eastAsia="ru-RU"/>
          </w:rPr>
          <w:t>ч</w:t>
        </w:r>
        <w:proofErr w:type="gramEnd"/>
        <w:r w:rsidRPr="008B5298">
          <w:rPr>
            <w:rFonts w:ascii="Times New Roman" w:eastAsia="Times New Roman" w:hAnsi="Times New Roman" w:cs="Times New Roman"/>
            <w:color w:val="339CD3"/>
            <w:sz w:val="24"/>
            <w:szCs w:val="24"/>
            <w:u w:val="single"/>
            <w:lang w:eastAsia="ru-RU"/>
          </w:rPr>
          <w:t>. 2, 5, 6, 8, 9 ст. 31 416-ФЗ от 07.12.2011</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3"/>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электроснабжение (</w:t>
      </w:r>
      <w:hyperlink r:id="rId32" w:tgtFrame="_blank" w:history="1">
        <w:r w:rsidRPr="008B5298">
          <w:rPr>
            <w:rFonts w:ascii="Times New Roman" w:eastAsia="Times New Roman" w:hAnsi="Times New Roman" w:cs="Times New Roman"/>
            <w:color w:val="339CD3"/>
            <w:sz w:val="24"/>
            <w:szCs w:val="24"/>
            <w:u w:val="single"/>
            <w:lang w:eastAsia="ru-RU"/>
          </w:rPr>
          <w:t>п. 3, 4 ст. 23.1 35-ФЗ от 26.03.2003</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3"/>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теплоснабжение (</w:t>
      </w:r>
      <w:hyperlink r:id="rId33" w:tgtFrame="_blank" w:history="1">
        <w:proofErr w:type="gramStart"/>
        <w:r w:rsidRPr="008B5298">
          <w:rPr>
            <w:rFonts w:ascii="Times New Roman" w:eastAsia="Times New Roman" w:hAnsi="Times New Roman" w:cs="Times New Roman"/>
            <w:color w:val="339CD3"/>
            <w:sz w:val="24"/>
            <w:szCs w:val="24"/>
            <w:u w:val="single"/>
            <w:lang w:eastAsia="ru-RU"/>
          </w:rPr>
          <w:t>ч</w:t>
        </w:r>
        <w:proofErr w:type="gramEnd"/>
        <w:r w:rsidRPr="008B5298">
          <w:rPr>
            <w:rFonts w:ascii="Times New Roman" w:eastAsia="Times New Roman" w:hAnsi="Times New Roman" w:cs="Times New Roman"/>
            <w:color w:val="339CD3"/>
            <w:sz w:val="24"/>
            <w:szCs w:val="24"/>
            <w:u w:val="single"/>
            <w:lang w:eastAsia="ru-RU"/>
          </w:rPr>
          <w:t>. 1 ст. 8 190-ФЗ от 27.07.2010</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3"/>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общедоступная электросвязь, почтовая связь (</w:t>
      </w:r>
      <w:hyperlink r:id="rId34" w:tgtFrame="_blank" w:history="1">
        <w:r w:rsidRPr="008B5298">
          <w:rPr>
            <w:rFonts w:ascii="Times New Roman" w:eastAsia="Times New Roman" w:hAnsi="Times New Roman" w:cs="Times New Roman"/>
            <w:color w:val="339CD3"/>
            <w:sz w:val="24"/>
            <w:szCs w:val="24"/>
            <w:u w:val="single"/>
            <w:lang w:eastAsia="ru-RU"/>
          </w:rPr>
          <w:t>перечень из ПП РФ № 637 от 24.10.2005</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НМЦ рассчитывают так: умножают тариф за единицу товара, работы, услуги на их количество (п. 5.2 Методических рекомендаций № 567). Сведения о региональных тарифах публикует Федеральная антимонопольная служба.</w:t>
      </w:r>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t>Обоснование НМЦК проектно-сметным методом</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Проектно-сметным способом обязательно обосновывают НМЦК на закупки работ:</w:t>
      </w:r>
    </w:p>
    <w:p w:rsidR="008B5298" w:rsidRPr="008B5298" w:rsidRDefault="008B5298" w:rsidP="008B5298">
      <w:pPr>
        <w:numPr>
          <w:ilvl w:val="0"/>
          <w:numId w:val="4"/>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по строительству, реконструкции, сносу, капитальному ремонту объекта капстроительства (их проводят по проектной документации);</w:t>
      </w:r>
    </w:p>
    <w:p w:rsidR="008B5298" w:rsidRPr="008B5298" w:rsidRDefault="008B5298" w:rsidP="008B5298">
      <w:pPr>
        <w:numPr>
          <w:ilvl w:val="0"/>
          <w:numId w:val="4"/>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по сохранению памятников истории, культурного наследия (исключением являются научно-методическое руководство, технадзор за такими работами).</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Минстрой настаивает, что проектно-сметный способ надо использовать и для обоснования НМЦК на заказ работ по инженерным изысканиям, подготовке проектной документации. А если в федеральном реестре сметных нормативов нет нужного показателя, для расчета НМЦ применяются иные способы.</w:t>
      </w:r>
    </w:p>
    <w:p w:rsidR="008B5298" w:rsidRPr="008B5298" w:rsidRDefault="008B5298" w:rsidP="008B5298">
      <w:pPr>
        <w:shd w:val="clear" w:color="auto" w:fill="FBEDB0"/>
        <w:spacing w:after="60" w:line="390" w:lineRule="atLeast"/>
        <w:rPr>
          <w:rFonts w:ascii="Times New Roman" w:eastAsia="Times New Roman" w:hAnsi="Times New Roman" w:cs="Times New Roman"/>
          <w:b/>
          <w:bCs/>
          <w:color w:val="343A40"/>
          <w:sz w:val="27"/>
          <w:szCs w:val="27"/>
          <w:lang w:eastAsia="ru-RU"/>
        </w:rPr>
      </w:pPr>
      <w:r w:rsidRPr="008B5298">
        <w:rPr>
          <w:rFonts w:ascii="Times New Roman" w:eastAsia="Times New Roman" w:hAnsi="Times New Roman" w:cs="Times New Roman"/>
          <w:b/>
          <w:bCs/>
          <w:color w:val="343A40"/>
          <w:sz w:val="27"/>
          <w:szCs w:val="27"/>
          <w:lang w:eastAsia="ru-RU"/>
        </w:rPr>
        <w:t>Важно!</w:t>
      </w:r>
    </w:p>
    <w:p w:rsidR="008B5298" w:rsidRPr="008B5298" w:rsidRDefault="008B5298" w:rsidP="008B5298">
      <w:pPr>
        <w:shd w:val="clear" w:color="auto" w:fill="FBEDB0"/>
        <w:spacing w:line="450" w:lineRule="atLeast"/>
        <w:rPr>
          <w:rFonts w:ascii="Times New Roman" w:eastAsia="Times New Roman" w:hAnsi="Times New Roman" w:cs="Times New Roman"/>
          <w:color w:val="343A40"/>
          <w:sz w:val="27"/>
          <w:szCs w:val="27"/>
          <w:lang w:eastAsia="ru-RU"/>
        </w:rPr>
      </w:pPr>
      <w:r w:rsidRPr="008B5298">
        <w:rPr>
          <w:rFonts w:ascii="Times New Roman" w:eastAsia="Times New Roman" w:hAnsi="Times New Roman" w:cs="Times New Roman"/>
          <w:color w:val="343A40"/>
          <w:sz w:val="27"/>
          <w:szCs w:val="27"/>
          <w:lang w:eastAsia="ru-RU"/>
        </w:rPr>
        <w:t>Заказчик вправе, но не обязан обосновывать проектно-сметным методом начальную цену контракта на текущий ремонт (</w:t>
      </w:r>
      <w:proofErr w:type="gramStart"/>
      <w:r w:rsidRPr="008B5298">
        <w:rPr>
          <w:rFonts w:ascii="Times New Roman" w:eastAsia="Times New Roman" w:hAnsi="Times New Roman" w:cs="Times New Roman"/>
          <w:color w:val="343A40"/>
          <w:sz w:val="27"/>
          <w:szCs w:val="27"/>
          <w:lang w:eastAsia="ru-RU"/>
        </w:rPr>
        <w:t>ч</w:t>
      </w:r>
      <w:proofErr w:type="gramEnd"/>
      <w:r w:rsidRPr="008B5298">
        <w:rPr>
          <w:rFonts w:ascii="Times New Roman" w:eastAsia="Times New Roman" w:hAnsi="Times New Roman" w:cs="Times New Roman"/>
          <w:color w:val="343A40"/>
          <w:sz w:val="27"/>
          <w:szCs w:val="27"/>
          <w:lang w:eastAsia="ru-RU"/>
        </w:rPr>
        <w:t>. 9.1 ст. 22 44-ФЗ).</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Порядок обоснования НМЦ проектно-сметным способом:</w:t>
      </w:r>
    </w:p>
    <w:p w:rsidR="008B5298" w:rsidRPr="008B5298" w:rsidRDefault="008B5298" w:rsidP="008B5298">
      <w:pPr>
        <w:numPr>
          <w:ilvl w:val="0"/>
          <w:numId w:val="5"/>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Определяем сметную стоимость строительных работ (</w:t>
      </w:r>
      <w:hyperlink r:id="rId35" w:tgtFrame="_blank" w:history="1">
        <w:r w:rsidRPr="008B5298">
          <w:rPr>
            <w:rFonts w:ascii="Times New Roman" w:eastAsia="Times New Roman" w:hAnsi="Times New Roman" w:cs="Times New Roman"/>
            <w:color w:val="339CD3"/>
            <w:sz w:val="24"/>
            <w:szCs w:val="24"/>
            <w:u w:val="single"/>
            <w:lang w:eastAsia="ru-RU"/>
          </w:rPr>
          <w:t xml:space="preserve">ст. 8.3 </w:t>
        </w:r>
        <w:proofErr w:type="spellStart"/>
        <w:r w:rsidRPr="008B5298">
          <w:rPr>
            <w:rFonts w:ascii="Times New Roman" w:eastAsia="Times New Roman" w:hAnsi="Times New Roman" w:cs="Times New Roman"/>
            <w:color w:val="339CD3"/>
            <w:sz w:val="24"/>
            <w:szCs w:val="24"/>
            <w:u w:val="single"/>
            <w:lang w:eastAsia="ru-RU"/>
          </w:rPr>
          <w:t>ГрК</w:t>
        </w:r>
        <w:proofErr w:type="spellEnd"/>
        <w:r w:rsidRPr="008B5298">
          <w:rPr>
            <w:rFonts w:ascii="Times New Roman" w:eastAsia="Times New Roman" w:hAnsi="Times New Roman" w:cs="Times New Roman"/>
            <w:color w:val="339CD3"/>
            <w:sz w:val="24"/>
            <w:szCs w:val="24"/>
            <w:u w:val="single"/>
            <w:lang w:eastAsia="ru-RU"/>
          </w:rPr>
          <w:t xml:space="preserve"> РФ</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5"/>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Используем прогнозные индексы изменения сметной стоимости строительства при составлении сметы (</w:t>
      </w:r>
      <w:hyperlink r:id="rId36" w:tgtFrame="_blank" w:history="1">
        <w:r w:rsidRPr="008B5298">
          <w:rPr>
            <w:rFonts w:ascii="Times New Roman" w:eastAsia="Times New Roman" w:hAnsi="Times New Roman" w:cs="Times New Roman"/>
            <w:color w:val="339CD3"/>
            <w:sz w:val="24"/>
            <w:szCs w:val="24"/>
            <w:u w:val="single"/>
            <w:lang w:eastAsia="ru-RU"/>
          </w:rPr>
          <w:t>письмо Минстроя № 8587-СМ/09 от 02.03.2018</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5"/>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lastRenderedPageBreak/>
        <w:t>Расчет проводим с учетом правил </w:t>
      </w:r>
      <w:hyperlink r:id="rId37" w:tgtFrame="_blank" w:history="1">
        <w:r w:rsidRPr="008B5298">
          <w:rPr>
            <w:rFonts w:ascii="Times New Roman" w:eastAsia="Times New Roman" w:hAnsi="Times New Roman" w:cs="Times New Roman"/>
            <w:color w:val="339CD3"/>
            <w:sz w:val="24"/>
            <w:szCs w:val="24"/>
            <w:u w:val="single"/>
            <w:lang w:eastAsia="ru-RU"/>
          </w:rPr>
          <w:t>Минстроя из Приказа № 841/</w:t>
        </w:r>
        <w:proofErr w:type="spellStart"/>
        <w:proofErr w:type="gramStart"/>
        <w:r w:rsidRPr="008B5298">
          <w:rPr>
            <w:rFonts w:ascii="Times New Roman" w:eastAsia="Times New Roman" w:hAnsi="Times New Roman" w:cs="Times New Roman"/>
            <w:color w:val="339CD3"/>
            <w:sz w:val="24"/>
            <w:szCs w:val="24"/>
            <w:u w:val="single"/>
            <w:lang w:eastAsia="ru-RU"/>
          </w:rPr>
          <w:t>пр</w:t>
        </w:r>
        <w:proofErr w:type="spellEnd"/>
        <w:proofErr w:type="gramEnd"/>
        <w:r w:rsidRPr="008B5298">
          <w:rPr>
            <w:rFonts w:ascii="Times New Roman" w:eastAsia="Times New Roman" w:hAnsi="Times New Roman" w:cs="Times New Roman"/>
            <w:color w:val="339CD3"/>
            <w:sz w:val="24"/>
            <w:szCs w:val="24"/>
            <w:u w:val="single"/>
            <w:lang w:eastAsia="ru-RU"/>
          </w:rPr>
          <w:t xml:space="preserve"> от 23.12.2019</w:t>
        </w:r>
      </w:hyperlink>
      <w:r w:rsidRPr="008B5298">
        <w:rPr>
          <w:rFonts w:ascii="Times New Roman" w:eastAsia="Times New Roman" w:hAnsi="Times New Roman" w:cs="Times New Roman"/>
          <w:color w:val="343A40"/>
          <w:sz w:val="24"/>
          <w:szCs w:val="24"/>
          <w:lang w:eastAsia="ru-RU"/>
        </w:rPr>
        <w:t>. Учитываем разъяснения Минстроя и ФАУ «</w:t>
      </w:r>
      <w:proofErr w:type="spellStart"/>
      <w:r w:rsidRPr="008B5298">
        <w:rPr>
          <w:rFonts w:ascii="Times New Roman" w:eastAsia="Times New Roman" w:hAnsi="Times New Roman" w:cs="Times New Roman"/>
          <w:color w:val="343A40"/>
          <w:sz w:val="24"/>
          <w:szCs w:val="24"/>
          <w:lang w:eastAsia="ru-RU"/>
        </w:rPr>
        <w:t>Главгосэкспертизы</w:t>
      </w:r>
      <w:proofErr w:type="spellEnd"/>
      <w:r w:rsidRPr="008B5298">
        <w:rPr>
          <w:rFonts w:ascii="Times New Roman" w:eastAsia="Times New Roman" w:hAnsi="Times New Roman" w:cs="Times New Roman"/>
          <w:color w:val="343A40"/>
          <w:sz w:val="24"/>
          <w:szCs w:val="24"/>
          <w:lang w:eastAsia="ru-RU"/>
        </w:rPr>
        <w:t xml:space="preserve"> России».</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В Приказе № 841/</w:t>
      </w:r>
      <w:proofErr w:type="spellStart"/>
      <w:proofErr w:type="gramStart"/>
      <w:r w:rsidRPr="008B5298">
        <w:rPr>
          <w:rFonts w:ascii="Times New Roman" w:eastAsia="Times New Roman" w:hAnsi="Times New Roman" w:cs="Times New Roman"/>
          <w:color w:val="343A40"/>
          <w:sz w:val="24"/>
          <w:szCs w:val="24"/>
          <w:lang w:eastAsia="ru-RU"/>
        </w:rPr>
        <w:t>пр</w:t>
      </w:r>
      <w:proofErr w:type="spellEnd"/>
      <w:proofErr w:type="gramEnd"/>
      <w:r w:rsidRPr="008B5298">
        <w:rPr>
          <w:rFonts w:ascii="Times New Roman" w:eastAsia="Times New Roman" w:hAnsi="Times New Roman" w:cs="Times New Roman"/>
          <w:color w:val="343A40"/>
          <w:sz w:val="24"/>
          <w:szCs w:val="24"/>
          <w:lang w:eastAsia="ru-RU"/>
        </w:rPr>
        <w:t xml:space="preserve"> разъясняется, нужна или нет дата обоснования НМЦК в смете: точную дату ставить не обязательно, но надо указать период составления проектно-сметной документации. Это необходимо для перерасчета сметы по прогнозным индексам изменения сметной стоимости с учетом повышения цен на стройматериалы.</w:t>
      </w:r>
    </w:p>
    <w:p w:rsidR="008B5298" w:rsidRPr="008B5298" w:rsidRDefault="008B5298" w:rsidP="008B5298">
      <w:pPr>
        <w:shd w:val="clear" w:color="auto" w:fill="E3F5FF"/>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9CD3"/>
          <w:sz w:val="26"/>
          <w:szCs w:val="26"/>
          <w:lang w:eastAsia="ru-RU"/>
        </w:rPr>
        <w:lastRenderedPageBreak/>
        <w:drawing>
          <wp:inline distT="0" distB="0" distL="0" distR="0">
            <wp:extent cx="8696325" cy="16011525"/>
            <wp:effectExtent l="19050" t="0" r="9525" b="0"/>
            <wp:docPr id="6" name="Рисунок 6" descr="Пример обоснования НМЦК">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мер обоснования НМЦК">
                      <a:hlinkClick r:id="rId38"/>
                    </pic:cNvPr>
                    <pic:cNvPicPr>
                      <a:picLocks noChangeAspect="1" noChangeArrowheads="1"/>
                    </pic:cNvPicPr>
                  </pic:nvPicPr>
                  <pic:blipFill>
                    <a:blip r:embed="rId39" cstate="print"/>
                    <a:srcRect/>
                    <a:stretch>
                      <a:fillRect/>
                    </a:stretch>
                  </pic:blipFill>
                  <pic:spPr bwMode="auto">
                    <a:xfrm>
                      <a:off x="0" y="0"/>
                      <a:ext cx="8696325" cy="16011525"/>
                    </a:xfrm>
                    <a:prstGeom prst="rect">
                      <a:avLst/>
                    </a:prstGeom>
                    <a:noFill/>
                    <a:ln w="9525">
                      <a:noFill/>
                      <a:miter lim="800000"/>
                      <a:headEnd/>
                      <a:tailEnd/>
                    </a:ln>
                  </pic:spPr>
                </pic:pic>
              </a:graphicData>
            </a:graphic>
          </wp:inline>
        </w:drawing>
      </w:r>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lastRenderedPageBreak/>
        <w:t>Обоснование НМЦК нормативным методом</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 xml:space="preserve">Рассчитывайте цену нормативным способом, если вышестоящий орган установил предельные цены на товары, работы и услуги. Предельную стоимость </w:t>
      </w:r>
      <w:proofErr w:type="gramStart"/>
      <w:r w:rsidRPr="008B5298">
        <w:rPr>
          <w:rFonts w:ascii="Times New Roman" w:eastAsia="Times New Roman" w:hAnsi="Times New Roman" w:cs="Times New Roman"/>
          <w:color w:val="343A40"/>
          <w:sz w:val="24"/>
          <w:szCs w:val="24"/>
          <w:lang w:eastAsia="ru-RU"/>
        </w:rPr>
        <w:t>указывают в требованиях к отдельным видам ТРУ</w:t>
      </w:r>
      <w:proofErr w:type="gramEnd"/>
      <w:r w:rsidRPr="008B5298">
        <w:rPr>
          <w:rFonts w:ascii="Times New Roman" w:eastAsia="Times New Roman" w:hAnsi="Times New Roman" w:cs="Times New Roman"/>
          <w:color w:val="343A40"/>
          <w:sz w:val="24"/>
          <w:szCs w:val="24"/>
          <w:lang w:eastAsia="ru-RU"/>
        </w:rPr>
        <w:t>: посмотрите их в </w:t>
      </w:r>
      <w:hyperlink r:id="rId40" w:tgtFrame="_blank" w:history="1">
        <w:r w:rsidRPr="008B5298">
          <w:rPr>
            <w:rFonts w:ascii="Times New Roman" w:eastAsia="Times New Roman" w:hAnsi="Times New Roman" w:cs="Times New Roman"/>
            <w:color w:val="339CD3"/>
            <w:sz w:val="24"/>
            <w:szCs w:val="24"/>
            <w:u w:val="single"/>
            <w:lang w:eastAsia="ru-RU"/>
          </w:rPr>
          <w:t>Единой информационной системе, в разделе планирования и подразделе «Правила нормирования в сфере закупок (44-ФЗ)»</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shd w:val="clear" w:color="auto" w:fill="E3F5FF"/>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9CD3"/>
          <w:sz w:val="26"/>
          <w:szCs w:val="26"/>
          <w:lang w:eastAsia="ru-RU"/>
        </w:rPr>
        <w:lastRenderedPageBreak/>
        <w:drawing>
          <wp:inline distT="0" distB="0" distL="0" distR="0">
            <wp:extent cx="11153775" cy="8343900"/>
            <wp:effectExtent l="19050" t="0" r="9525" b="0"/>
            <wp:docPr id="7" name="Рисунок 7" descr="/fls/125047/3-2022-05.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s/125047/3-2022-05.jpg">
                      <a:hlinkClick r:id="rId41"/>
                    </pic:cNvPr>
                    <pic:cNvPicPr>
                      <a:picLocks noChangeAspect="1" noChangeArrowheads="1"/>
                    </pic:cNvPicPr>
                  </pic:nvPicPr>
                  <pic:blipFill>
                    <a:blip r:embed="rId42" cstate="print"/>
                    <a:srcRect/>
                    <a:stretch>
                      <a:fillRect/>
                    </a:stretch>
                  </pic:blipFill>
                  <pic:spPr bwMode="auto">
                    <a:xfrm>
                      <a:off x="0" y="0"/>
                      <a:ext cx="11153775" cy="8343900"/>
                    </a:xfrm>
                    <a:prstGeom prst="rect">
                      <a:avLst/>
                    </a:prstGeom>
                    <a:noFill/>
                    <a:ln w="9525">
                      <a:noFill/>
                      <a:miter lim="800000"/>
                      <a:headEnd/>
                      <a:tailEnd/>
                    </a:ln>
                  </pic:spPr>
                </pic:pic>
              </a:graphicData>
            </a:graphic>
          </wp:inline>
        </w:drawing>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 xml:space="preserve">НМЦ определяют так: необходимое количество товара умножают на предельную стоимость (п. 4.2 Методических рекомендаций № 567). Вместе с </w:t>
      </w:r>
      <w:proofErr w:type="gramStart"/>
      <w:r w:rsidRPr="008B5298">
        <w:rPr>
          <w:rFonts w:ascii="Times New Roman" w:eastAsia="Times New Roman" w:hAnsi="Times New Roman" w:cs="Times New Roman"/>
          <w:color w:val="343A40"/>
          <w:sz w:val="24"/>
          <w:szCs w:val="24"/>
          <w:lang w:eastAsia="ru-RU"/>
        </w:rPr>
        <w:t>нормативным</w:t>
      </w:r>
      <w:proofErr w:type="gramEnd"/>
      <w:r w:rsidRPr="008B5298">
        <w:rPr>
          <w:rFonts w:ascii="Times New Roman" w:eastAsia="Times New Roman" w:hAnsi="Times New Roman" w:cs="Times New Roman"/>
          <w:color w:val="343A40"/>
          <w:sz w:val="24"/>
          <w:szCs w:val="24"/>
          <w:lang w:eastAsia="ru-RU"/>
        </w:rPr>
        <w:t xml:space="preserve"> применяют </w:t>
      </w:r>
      <w:r w:rsidRPr="008B5298">
        <w:rPr>
          <w:rFonts w:ascii="Times New Roman" w:eastAsia="Times New Roman" w:hAnsi="Times New Roman" w:cs="Times New Roman"/>
          <w:color w:val="343A40"/>
          <w:sz w:val="24"/>
          <w:szCs w:val="24"/>
          <w:lang w:eastAsia="ru-RU"/>
        </w:rPr>
        <w:lastRenderedPageBreak/>
        <w:t>и метод сопоставимых рыночных цен. Рассчитайте цену двумя способами, и если НМЦ по анализу рынка меньше нормативного показателя, используйте ее в закупках (п. 4.4 Методических рекомендаций, </w:t>
      </w:r>
      <w:hyperlink r:id="rId43" w:tgtFrame="_blank" w:history="1">
        <w:r w:rsidRPr="008B5298">
          <w:rPr>
            <w:rFonts w:ascii="Times New Roman" w:eastAsia="Times New Roman" w:hAnsi="Times New Roman" w:cs="Times New Roman"/>
            <w:color w:val="339CD3"/>
            <w:sz w:val="24"/>
            <w:szCs w:val="24"/>
            <w:u w:val="single"/>
            <w:lang w:eastAsia="ru-RU"/>
          </w:rPr>
          <w:t>письма Минфина № 24-01-08/34018 от 27.04.2020, № 24-01-08/36522 от 06.05.2020</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t>Обоснование НМЦК затратным методом</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Используйте затратный способ, если никакие другие методы обоснования НМЦ не подходят. Обычно такой расчет применяют для закупки товаров, работ, услуг с индивидуальными характеристиками или при отсутствии необходимого количества поставщиков.</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 xml:space="preserve">Для расчета начальной цены надо сложить прямые и косвенные затраты на производство или покупку, реализацию товаров и прибыль, обычную для конкретной сферы деятельности. Вся эта информация есть в ЕИС — </w:t>
      </w:r>
      <w:proofErr w:type="gramStart"/>
      <w:r w:rsidRPr="008B5298">
        <w:rPr>
          <w:rFonts w:ascii="Times New Roman" w:eastAsia="Times New Roman" w:hAnsi="Times New Roman" w:cs="Times New Roman"/>
          <w:color w:val="343A40"/>
          <w:sz w:val="24"/>
          <w:szCs w:val="24"/>
          <w:lang w:eastAsia="ru-RU"/>
        </w:rPr>
        <w:t>в</w:t>
      </w:r>
      <w:proofErr w:type="gramEnd"/>
      <w:r w:rsidRPr="008B5298">
        <w:rPr>
          <w:rFonts w:ascii="Times New Roman" w:eastAsia="Times New Roman" w:hAnsi="Times New Roman" w:cs="Times New Roman"/>
          <w:color w:val="343A40"/>
          <w:sz w:val="24"/>
          <w:szCs w:val="24"/>
          <w:lang w:eastAsia="ru-RU"/>
        </w:rPr>
        <w:t xml:space="preserve"> исполненных </w:t>
      </w:r>
      <w:proofErr w:type="spellStart"/>
      <w:r w:rsidRPr="008B5298">
        <w:rPr>
          <w:rFonts w:ascii="Times New Roman" w:eastAsia="Times New Roman" w:hAnsi="Times New Roman" w:cs="Times New Roman"/>
          <w:color w:val="343A40"/>
          <w:sz w:val="24"/>
          <w:szCs w:val="24"/>
          <w:lang w:eastAsia="ru-RU"/>
        </w:rPr>
        <w:t>госконтрактах</w:t>
      </w:r>
      <w:proofErr w:type="spellEnd"/>
      <w:r w:rsidRPr="008B5298">
        <w:rPr>
          <w:rFonts w:ascii="Times New Roman" w:eastAsia="Times New Roman" w:hAnsi="Times New Roman" w:cs="Times New Roman"/>
          <w:color w:val="343A40"/>
          <w:sz w:val="24"/>
          <w:szCs w:val="24"/>
          <w:lang w:eastAsia="ru-RU"/>
        </w:rPr>
        <w:t xml:space="preserve"> из реестра контрактов. Кроме того, разрешается использовать сведения из общедоступных источников и результаты исследований рынка, которые инициировал заказчик.</w:t>
      </w:r>
    </w:p>
    <w:p w:rsidR="008B5298" w:rsidRPr="008B5298" w:rsidRDefault="008B5298" w:rsidP="008B5298">
      <w:pPr>
        <w:shd w:val="clear" w:color="auto" w:fill="FBEDB0"/>
        <w:spacing w:after="60" w:line="390" w:lineRule="atLeast"/>
        <w:rPr>
          <w:rFonts w:ascii="Times New Roman" w:eastAsia="Times New Roman" w:hAnsi="Times New Roman" w:cs="Times New Roman"/>
          <w:b/>
          <w:bCs/>
          <w:color w:val="343A40"/>
          <w:sz w:val="27"/>
          <w:szCs w:val="27"/>
          <w:lang w:eastAsia="ru-RU"/>
        </w:rPr>
      </w:pPr>
      <w:r w:rsidRPr="008B5298">
        <w:rPr>
          <w:rFonts w:ascii="Times New Roman" w:eastAsia="Times New Roman" w:hAnsi="Times New Roman" w:cs="Times New Roman"/>
          <w:b/>
          <w:bCs/>
          <w:color w:val="343A40"/>
          <w:sz w:val="27"/>
          <w:szCs w:val="27"/>
          <w:lang w:eastAsia="ru-RU"/>
        </w:rPr>
        <w:t>Важно!</w:t>
      </w:r>
    </w:p>
    <w:p w:rsidR="008B5298" w:rsidRPr="008B5298" w:rsidRDefault="008B5298" w:rsidP="008B5298">
      <w:pPr>
        <w:shd w:val="clear" w:color="auto" w:fill="FBEDB0"/>
        <w:spacing w:line="450" w:lineRule="atLeast"/>
        <w:rPr>
          <w:rFonts w:ascii="Times New Roman" w:eastAsia="Times New Roman" w:hAnsi="Times New Roman" w:cs="Times New Roman"/>
          <w:color w:val="343A40"/>
          <w:sz w:val="27"/>
          <w:szCs w:val="27"/>
          <w:lang w:eastAsia="ru-RU"/>
        </w:rPr>
      </w:pPr>
      <w:r w:rsidRPr="008B5298">
        <w:rPr>
          <w:rFonts w:ascii="Times New Roman" w:eastAsia="Times New Roman" w:hAnsi="Times New Roman" w:cs="Times New Roman"/>
          <w:color w:val="343A40"/>
          <w:sz w:val="27"/>
          <w:szCs w:val="27"/>
          <w:lang w:eastAsia="ru-RU"/>
        </w:rPr>
        <w:t>К затратам в рамках затратного способа относят заработную плату работников, налоги, коммуналку, аренду, покупку материалов, ГСМ и другие расходы.</w:t>
      </w:r>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t>Закупки с особенностями обоснования НМЦК</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Для некоторых заказов начальная цена определяется не только по нормам ст. 22 Федеральной контрактной системы, но и с учетом особого порядка и отраслевых правил. К таким закупкам относятся:</w:t>
      </w:r>
    </w:p>
    <w:p w:rsidR="008B5298" w:rsidRPr="008B5298" w:rsidRDefault="008B5298" w:rsidP="008B5298">
      <w:pPr>
        <w:numPr>
          <w:ilvl w:val="0"/>
          <w:numId w:val="6"/>
        </w:num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заказы в градостроительной сфере. Стоимость работ рассчитывают в порядке, определенном Приказом Минстроя № 841/</w:t>
      </w:r>
      <w:proofErr w:type="spellStart"/>
      <w:proofErr w:type="gramStart"/>
      <w:r w:rsidRPr="008B5298">
        <w:rPr>
          <w:rFonts w:ascii="Times New Roman" w:eastAsia="Times New Roman" w:hAnsi="Times New Roman" w:cs="Times New Roman"/>
          <w:color w:val="343A40"/>
          <w:sz w:val="24"/>
          <w:szCs w:val="24"/>
          <w:lang w:eastAsia="ru-RU"/>
        </w:rPr>
        <w:t>пр</w:t>
      </w:r>
      <w:proofErr w:type="spellEnd"/>
      <w:proofErr w:type="gramEnd"/>
      <w:r w:rsidRPr="008B5298">
        <w:rPr>
          <w:rFonts w:ascii="Times New Roman" w:eastAsia="Times New Roman" w:hAnsi="Times New Roman" w:cs="Times New Roman"/>
          <w:color w:val="343A40"/>
          <w:sz w:val="24"/>
          <w:szCs w:val="24"/>
          <w:lang w:eastAsia="ru-RU"/>
        </w:rPr>
        <w:t xml:space="preserve"> от 23.12.2019;</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государственный оборонный заказ. Товары, работы и услуги в рамках ГОЗ приобретают в соответствии с </w:t>
      </w:r>
      <w:hyperlink r:id="rId44" w:tgtFrame="_blank" w:history="1">
        <w:r w:rsidRPr="008B5298">
          <w:rPr>
            <w:rFonts w:ascii="Times New Roman" w:eastAsia="Times New Roman" w:hAnsi="Times New Roman" w:cs="Times New Roman"/>
            <w:color w:val="339CD3"/>
            <w:sz w:val="24"/>
            <w:szCs w:val="24"/>
            <w:u w:val="single"/>
            <w:lang w:eastAsia="ru-RU"/>
          </w:rPr>
          <w:t>ПП РФ № 1465 от 02.12.2017</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proofErr w:type="spellStart"/>
      <w:r w:rsidRPr="008B5298">
        <w:rPr>
          <w:rFonts w:ascii="Times New Roman" w:eastAsia="Times New Roman" w:hAnsi="Times New Roman" w:cs="Times New Roman"/>
          <w:color w:val="343A40"/>
          <w:sz w:val="24"/>
          <w:szCs w:val="24"/>
          <w:lang w:eastAsia="ru-RU"/>
        </w:rPr>
        <w:t>энергосервисные</w:t>
      </w:r>
      <w:proofErr w:type="spellEnd"/>
      <w:r w:rsidRPr="008B5298">
        <w:rPr>
          <w:rFonts w:ascii="Times New Roman" w:eastAsia="Times New Roman" w:hAnsi="Times New Roman" w:cs="Times New Roman"/>
          <w:color w:val="343A40"/>
          <w:sz w:val="24"/>
          <w:szCs w:val="24"/>
          <w:lang w:eastAsia="ru-RU"/>
        </w:rPr>
        <w:t xml:space="preserve"> контракты. Особенности обоснования НМЦ прописаны в приложении № 2 к </w:t>
      </w:r>
      <w:hyperlink r:id="rId45" w:tgtFrame="_blank" w:history="1">
        <w:r w:rsidRPr="008B5298">
          <w:rPr>
            <w:rFonts w:ascii="Times New Roman" w:eastAsia="Times New Roman" w:hAnsi="Times New Roman" w:cs="Times New Roman"/>
            <w:color w:val="339CD3"/>
            <w:sz w:val="24"/>
            <w:szCs w:val="24"/>
            <w:u w:val="single"/>
            <w:lang w:eastAsia="ru-RU"/>
          </w:rPr>
          <w:t>ПП РФ № 636 от 18.08.2010</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lastRenderedPageBreak/>
        <w:t>медицинское оборудование. Стоимость формируют по нормам </w:t>
      </w:r>
      <w:hyperlink r:id="rId46" w:tgtFrame="_blank" w:history="1">
        <w:r w:rsidRPr="008B5298">
          <w:rPr>
            <w:rFonts w:ascii="Times New Roman" w:eastAsia="Times New Roman" w:hAnsi="Times New Roman" w:cs="Times New Roman"/>
            <w:color w:val="339CD3"/>
            <w:sz w:val="24"/>
            <w:szCs w:val="24"/>
            <w:u w:val="single"/>
            <w:lang w:eastAsia="ru-RU"/>
          </w:rPr>
          <w:t>ПП РФ № 881 от 03.11.2011</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лекарственные препараты для медицинского применения. Заказчики руководствуются </w:t>
      </w:r>
      <w:hyperlink r:id="rId47" w:tgtFrame="_blank" w:history="1">
        <w:r w:rsidRPr="008B5298">
          <w:rPr>
            <w:rFonts w:ascii="Times New Roman" w:eastAsia="Times New Roman" w:hAnsi="Times New Roman" w:cs="Times New Roman"/>
            <w:color w:val="339CD3"/>
            <w:sz w:val="24"/>
            <w:szCs w:val="24"/>
            <w:u w:val="single"/>
            <w:lang w:eastAsia="ru-RU"/>
          </w:rPr>
          <w:t>Приказом Минздрава № 1064н от 19.12.2019</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медицинские изделия. Эти закупки регламентирует </w:t>
      </w:r>
      <w:hyperlink r:id="rId48" w:tgtFrame="_blank" w:history="1">
        <w:r w:rsidRPr="008B5298">
          <w:rPr>
            <w:rFonts w:ascii="Times New Roman" w:eastAsia="Times New Roman" w:hAnsi="Times New Roman" w:cs="Times New Roman"/>
            <w:color w:val="339CD3"/>
            <w:sz w:val="24"/>
            <w:szCs w:val="24"/>
            <w:u w:val="single"/>
            <w:lang w:eastAsia="ru-RU"/>
          </w:rPr>
          <w:t>Приказ Минздрава № 450н от 15.05.2020</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стандартное жилье у единственного поставщика. Обязательно изучите </w:t>
      </w:r>
      <w:hyperlink r:id="rId49" w:tgtFrame="_blank" w:history="1">
        <w:r w:rsidRPr="008B5298">
          <w:rPr>
            <w:rFonts w:ascii="Times New Roman" w:eastAsia="Times New Roman" w:hAnsi="Times New Roman" w:cs="Times New Roman"/>
            <w:color w:val="339CD3"/>
            <w:sz w:val="24"/>
            <w:szCs w:val="24"/>
            <w:u w:val="single"/>
            <w:lang w:eastAsia="ru-RU"/>
          </w:rPr>
          <w:t>Федеральный закон № 161-ФЗ от 24.07.2008</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встречные инвестиционные обязательства в регионах. Учитывайте правила </w:t>
      </w:r>
      <w:hyperlink r:id="rId50" w:tgtFrame="_blank" w:history="1">
        <w:r w:rsidRPr="008B5298">
          <w:rPr>
            <w:rFonts w:ascii="Times New Roman" w:eastAsia="Times New Roman" w:hAnsi="Times New Roman" w:cs="Times New Roman"/>
            <w:color w:val="339CD3"/>
            <w:sz w:val="24"/>
            <w:szCs w:val="24"/>
            <w:u w:val="single"/>
            <w:lang w:eastAsia="ru-RU"/>
          </w:rPr>
          <w:t>ПП РФ № 1166 от 12.11.2016</w:t>
        </w:r>
      </w:hyperlink>
      <w:r w:rsidRPr="008B5298">
        <w:rPr>
          <w:rFonts w:ascii="Times New Roman" w:eastAsia="Times New Roman" w:hAnsi="Times New Roman" w:cs="Times New Roman"/>
          <w:color w:val="343A40"/>
          <w:sz w:val="24"/>
          <w:szCs w:val="24"/>
          <w:lang w:eastAsia="ru-RU"/>
        </w:rPr>
        <w:t> и региональные нормативные акты;</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регулярные перевозки пассажиров и багажа автобусами, трамваями, троллейбусами. Для таких заказов действует </w:t>
      </w:r>
      <w:hyperlink r:id="rId51" w:tgtFrame="_blank" w:history="1">
        <w:r w:rsidRPr="008B5298">
          <w:rPr>
            <w:rFonts w:ascii="Times New Roman" w:eastAsia="Times New Roman" w:hAnsi="Times New Roman" w:cs="Times New Roman"/>
            <w:color w:val="339CD3"/>
            <w:sz w:val="24"/>
            <w:szCs w:val="24"/>
            <w:u w:val="single"/>
            <w:lang w:eastAsia="ru-RU"/>
          </w:rPr>
          <w:t>Приказ Минтранса № 351 от 20.10.2021</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numPr>
          <w:ilvl w:val="0"/>
          <w:numId w:val="6"/>
        </w:numPr>
        <w:shd w:val="clear" w:color="auto" w:fill="F8F9FA"/>
        <w:spacing w:before="120"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охранные услуги. НМЦ рассчитайте на основании </w:t>
      </w:r>
      <w:hyperlink r:id="rId52" w:tgtFrame="_blank" w:history="1">
        <w:r w:rsidRPr="008B5298">
          <w:rPr>
            <w:rFonts w:ascii="Times New Roman" w:eastAsia="Times New Roman" w:hAnsi="Times New Roman" w:cs="Times New Roman"/>
            <w:color w:val="339CD3"/>
            <w:sz w:val="24"/>
            <w:szCs w:val="24"/>
            <w:u w:val="single"/>
            <w:lang w:eastAsia="ru-RU"/>
          </w:rPr>
          <w:t xml:space="preserve">Приказа </w:t>
        </w:r>
        <w:proofErr w:type="spellStart"/>
        <w:r w:rsidRPr="008B5298">
          <w:rPr>
            <w:rFonts w:ascii="Times New Roman" w:eastAsia="Times New Roman" w:hAnsi="Times New Roman" w:cs="Times New Roman"/>
            <w:color w:val="339CD3"/>
            <w:sz w:val="24"/>
            <w:szCs w:val="24"/>
            <w:u w:val="single"/>
            <w:lang w:eastAsia="ru-RU"/>
          </w:rPr>
          <w:t>Росгвардии</w:t>
        </w:r>
        <w:proofErr w:type="spellEnd"/>
        <w:r w:rsidRPr="008B5298">
          <w:rPr>
            <w:rFonts w:ascii="Times New Roman" w:eastAsia="Times New Roman" w:hAnsi="Times New Roman" w:cs="Times New Roman"/>
            <w:color w:val="339CD3"/>
            <w:sz w:val="24"/>
            <w:szCs w:val="24"/>
            <w:u w:val="single"/>
            <w:lang w:eastAsia="ru-RU"/>
          </w:rPr>
          <w:t xml:space="preserve"> № 45 от 15.02.2021</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shd w:val="clear" w:color="auto" w:fill="FBEDB0"/>
        <w:spacing w:after="60" w:line="390" w:lineRule="atLeast"/>
        <w:rPr>
          <w:rFonts w:ascii="Times New Roman" w:eastAsia="Times New Roman" w:hAnsi="Times New Roman" w:cs="Times New Roman"/>
          <w:b/>
          <w:bCs/>
          <w:color w:val="343A40"/>
          <w:sz w:val="27"/>
          <w:szCs w:val="27"/>
          <w:lang w:eastAsia="ru-RU"/>
        </w:rPr>
      </w:pPr>
      <w:r w:rsidRPr="008B5298">
        <w:rPr>
          <w:rFonts w:ascii="Times New Roman" w:eastAsia="Times New Roman" w:hAnsi="Times New Roman" w:cs="Times New Roman"/>
          <w:b/>
          <w:bCs/>
          <w:color w:val="343A40"/>
          <w:sz w:val="27"/>
          <w:szCs w:val="27"/>
          <w:lang w:eastAsia="ru-RU"/>
        </w:rPr>
        <w:t>Важно!</w:t>
      </w:r>
    </w:p>
    <w:p w:rsidR="008B5298" w:rsidRPr="008B5298" w:rsidRDefault="008B5298" w:rsidP="008B5298">
      <w:pPr>
        <w:shd w:val="clear" w:color="auto" w:fill="FBEDB0"/>
        <w:spacing w:line="450" w:lineRule="atLeast"/>
        <w:rPr>
          <w:rFonts w:ascii="Times New Roman" w:eastAsia="Times New Roman" w:hAnsi="Times New Roman" w:cs="Times New Roman"/>
          <w:color w:val="343A40"/>
          <w:sz w:val="27"/>
          <w:szCs w:val="27"/>
          <w:lang w:eastAsia="ru-RU"/>
        </w:rPr>
      </w:pPr>
      <w:proofErr w:type="gramStart"/>
      <w:r w:rsidRPr="008B5298">
        <w:rPr>
          <w:rFonts w:ascii="Times New Roman" w:eastAsia="Times New Roman" w:hAnsi="Times New Roman" w:cs="Times New Roman"/>
          <w:color w:val="343A40"/>
          <w:sz w:val="27"/>
          <w:szCs w:val="27"/>
          <w:lang w:eastAsia="ru-RU"/>
        </w:rPr>
        <w:t xml:space="preserve">Минздрав и </w:t>
      </w:r>
      <w:proofErr w:type="spellStart"/>
      <w:r w:rsidRPr="008B5298">
        <w:rPr>
          <w:rFonts w:ascii="Times New Roman" w:eastAsia="Times New Roman" w:hAnsi="Times New Roman" w:cs="Times New Roman"/>
          <w:color w:val="343A40"/>
          <w:sz w:val="27"/>
          <w:szCs w:val="27"/>
          <w:lang w:eastAsia="ru-RU"/>
        </w:rPr>
        <w:t>Минпромторг</w:t>
      </w:r>
      <w:proofErr w:type="spellEnd"/>
      <w:r w:rsidRPr="008B5298">
        <w:rPr>
          <w:rFonts w:ascii="Times New Roman" w:eastAsia="Times New Roman" w:hAnsi="Times New Roman" w:cs="Times New Roman"/>
          <w:color w:val="343A40"/>
          <w:sz w:val="27"/>
          <w:szCs w:val="27"/>
          <w:lang w:eastAsia="ru-RU"/>
        </w:rPr>
        <w:t> </w:t>
      </w:r>
      <w:hyperlink r:id="rId53" w:anchor="npa=127230" w:tgtFrame="_blank" w:history="1">
        <w:r w:rsidRPr="008B5298">
          <w:rPr>
            <w:rFonts w:ascii="Times New Roman" w:eastAsia="Times New Roman" w:hAnsi="Times New Roman" w:cs="Times New Roman"/>
            <w:color w:val="339CD3"/>
            <w:sz w:val="27"/>
            <w:u w:val="single"/>
            <w:lang w:eastAsia="ru-RU"/>
          </w:rPr>
          <w:t>планируют</w:t>
        </w:r>
      </w:hyperlink>
      <w:r w:rsidRPr="008B5298">
        <w:rPr>
          <w:rFonts w:ascii="Times New Roman" w:eastAsia="Times New Roman" w:hAnsi="Times New Roman" w:cs="Times New Roman"/>
          <w:color w:val="343A40"/>
          <w:sz w:val="27"/>
          <w:szCs w:val="27"/>
          <w:lang w:eastAsia="ru-RU"/>
        </w:rPr>
        <w:t xml:space="preserve"> отменить использование коэффициента локализации Кл в методике расчета НМЦ для пластиковых </w:t>
      </w:r>
      <w:proofErr w:type="spellStart"/>
      <w:r w:rsidRPr="008B5298">
        <w:rPr>
          <w:rFonts w:ascii="Times New Roman" w:eastAsia="Times New Roman" w:hAnsi="Times New Roman" w:cs="Times New Roman"/>
          <w:color w:val="343A40"/>
          <w:sz w:val="27"/>
          <w:szCs w:val="27"/>
          <w:lang w:eastAsia="ru-RU"/>
        </w:rPr>
        <w:t>медизделий</w:t>
      </w:r>
      <w:proofErr w:type="spellEnd"/>
      <w:r w:rsidRPr="008B5298">
        <w:rPr>
          <w:rFonts w:ascii="Times New Roman" w:eastAsia="Times New Roman" w:hAnsi="Times New Roman" w:cs="Times New Roman"/>
          <w:color w:val="343A40"/>
          <w:sz w:val="27"/>
          <w:szCs w:val="27"/>
          <w:lang w:eastAsia="ru-RU"/>
        </w:rPr>
        <w:t xml:space="preserve"> одноразового применения.</w:t>
      </w:r>
      <w:proofErr w:type="gramEnd"/>
      <w:r w:rsidRPr="008B5298">
        <w:rPr>
          <w:rFonts w:ascii="Times New Roman" w:eastAsia="Times New Roman" w:hAnsi="Times New Roman" w:cs="Times New Roman"/>
          <w:color w:val="343A40"/>
          <w:sz w:val="27"/>
          <w:szCs w:val="27"/>
          <w:lang w:eastAsia="ru-RU"/>
        </w:rPr>
        <w:t xml:space="preserve"> Кроме того, отменят и саму методику расчета начальной цены одноразовых медицинских изделий из ПВХ. </w:t>
      </w:r>
      <w:hyperlink r:id="rId54" w:tgtFrame="_blank" w:history="1">
        <w:r w:rsidRPr="008B5298">
          <w:rPr>
            <w:rFonts w:ascii="Times New Roman" w:eastAsia="Times New Roman" w:hAnsi="Times New Roman" w:cs="Times New Roman"/>
            <w:color w:val="339CD3"/>
            <w:sz w:val="27"/>
            <w:u w:val="single"/>
            <w:lang w:eastAsia="ru-RU"/>
          </w:rPr>
          <w:t xml:space="preserve">Приказы Минздрава и </w:t>
        </w:r>
        <w:proofErr w:type="spellStart"/>
        <w:r w:rsidRPr="008B5298">
          <w:rPr>
            <w:rFonts w:ascii="Times New Roman" w:eastAsia="Times New Roman" w:hAnsi="Times New Roman" w:cs="Times New Roman"/>
            <w:color w:val="339CD3"/>
            <w:sz w:val="27"/>
            <w:u w:val="single"/>
            <w:lang w:eastAsia="ru-RU"/>
          </w:rPr>
          <w:t>Минпромторга</w:t>
        </w:r>
        <w:proofErr w:type="spellEnd"/>
        <w:r w:rsidRPr="008B5298">
          <w:rPr>
            <w:rFonts w:ascii="Times New Roman" w:eastAsia="Times New Roman" w:hAnsi="Times New Roman" w:cs="Times New Roman"/>
            <w:color w:val="339CD3"/>
            <w:sz w:val="27"/>
            <w:u w:val="single"/>
            <w:lang w:eastAsia="ru-RU"/>
          </w:rPr>
          <w:t xml:space="preserve"> № 759н/3450 от 04.10.2017 и № 154н/749 от 10.03.2020</w:t>
        </w:r>
      </w:hyperlink>
      <w:r w:rsidRPr="008B5298">
        <w:rPr>
          <w:rFonts w:ascii="Times New Roman" w:eastAsia="Times New Roman" w:hAnsi="Times New Roman" w:cs="Times New Roman"/>
          <w:color w:val="343A40"/>
          <w:sz w:val="27"/>
          <w:szCs w:val="27"/>
          <w:lang w:eastAsia="ru-RU"/>
        </w:rPr>
        <w:t> утрачивают силу.</w:t>
      </w:r>
    </w:p>
    <w:p w:rsidR="008B5298" w:rsidRPr="008B5298" w:rsidRDefault="008B5298" w:rsidP="008B5298">
      <w:pPr>
        <w:shd w:val="clear" w:color="auto" w:fill="F8F9FA"/>
        <w:spacing w:before="600" w:after="300" w:line="495" w:lineRule="atLeast"/>
        <w:outlineLvl w:val="1"/>
        <w:rPr>
          <w:rFonts w:ascii="Times New Roman" w:eastAsia="Times New Roman" w:hAnsi="Times New Roman" w:cs="Times New Roman"/>
          <w:b/>
          <w:bCs/>
          <w:color w:val="343A40"/>
          <w:sz w:val="42"/>
          <w:szCs w:val="42"/>
          <w:lang w:eastAsia="ru-RU"/>
        </w:rPr>
      </w:pPr>
      <w:r w:rsidRPr="008B5298">
        <w:rPr>
          <w:rFonts w:ascii="Times New Roman" w:eastAsia="Times New Roman" w:hAnsi="Times New Roman" w:cs="Times New Roman"/>
          <w:b/>
          <w:bCs/>
          <w:color w:val="343A40"/>
          <w:sz w:val="42"/>
          <w:szCs w:val="42"/>
          <w:lang w:eastAsia="ru-RU"/>
        </w:rPr>
        <w:t>В каких случаях НМЦК не обосновывают</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 xml:space="preserve">В 44-ФЗ указано, когда не требуется обоснование НМЦК, — если заключаете контракт с единственным поставщиком. Цену контракта с </w:t>
      </w:r>
      <w:proofErr w:type="spellStart"/>
      <w:r w:rsidRPr="008B5298">
        <w:rPr>
          <w:rFonts w:ascii="Times New Roman" w:eastAsia="Times New Roman" w:hAnsi="Times New Roman" w:cs="Times New Roman"/>
          <w:color w:val="343A40"/>
          <w:sz w:val="24"/>
          <w:szCs w:val="24"/>
          <w:lang w:eastAsia="ru-RU"/>
        </w:rPr>
        <w:t>едпоставщиком</w:t>
      </w:r>
      <w:proofErr w:type="spellEnd"/>
      <w:r w:rsidRPr="008B5298">
        <w:rPr>
          <w:rFonts w:ascii="Times New Roman" w:eastAsia="Times New Roman" w:hAnsi="Times New Roman" w:cs="Times New Roman"/>
          <w:color w:val="343A40"/>
          <w:sz w:val="24"/>
          <w:szCs w:val="24"/>
          <w:lang w:eastAsia="ru-RU"/>
        </w:rPr>
        <w:t xml:space="preserve"> рассчитывают так же, как и для конкурентных процедур, — одним из способов ст. 22 Федеральной контрактной системы. Если эти методы не подошли, используйте собственный способ расчета. Но обязательно подготовьте обоснование невозможности применения других способов расчета НМЦ (ч. 12 ст. 22 44-ФЗ, письмо Минфина № 24-01-08/16645 от 05.03.2020).</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lastRenderedPageBreak/>
        <w:t>При планировании закупок и заключении контракта с единственным поставщиком обоснование НМЦ не требуется. Если заказ соответствует правилам нормирования и формирования стоимости, его признают обоснованным (</w:t>
      </w:r>
      <w:hyperlink r:id="rId55" w:tgtFrame="_blank" w:history="1">
        <w:proofErr w:type="gramStart"/>
        <w:r w:rsidRPr="008B5298">
          <w:rPr>
            <w:rFonts w:ascii="Times New Roman" w:eastAsia="Times New Roman" w:hAnsi="Times New Roman" w:cs="Times New Roman"/>
            <w:color w:val="339CD3"/>
            <w:sz w:val="24"/>
            <w:szCs w:val="24"/>
            <w:u w:val="single"/>
            <w:lang w:eastAsia="ru-RU"/>
          </w:rPr>
          <w:t>ч</w:t>
        </w:r>
        <w:proofErr w:type="gramEnd"/>
        <w:r w:rsidRPr="008B5298">
          <w:rPr>
            <w:rFonts w:ascii="Times New Roman" w:eastAsia="Times New Roman" w:hAnsi="Times New Roman" w:cs="Times New Roman"/>
            <w:color w:val="339CD3"/>
            <w:sz w:val="24"/>
            <w:szCs w:val="24"/>
            <w:u w:val="single"/>
            <w:lang w:eastAsia="ru-RU"/>
          </w:rPr>
          <w:t>. 1 ст. 18 44-ФЗ</w:t>
        </w:r>
      </w:hyperlink>
      <w:r w:rsidRPr="008B5298">
        <w:rPr>
          <w:rFonts w:ascii="Times New Roman" w:eastAsia="Times New Roman" w:hAnsi="Times New Roman" w:cs="Times New Roman"/>
          <w:color w:val="343A40"/>
          <w:sz w:val="24"/>
          <w:szCs w:val="24"/>
          <w:lang w:eastAsia="ru-RU"/>
        </w:rPr>
        <w:t>).</w:t>
      </w:r>
    </w:p>
    <w:p w:rsidR="008B5298" w:rsidRPr="008B5298" w:rsidRDefault="008B5298" w:rsidP="008B5298">
      <w:pPr>
        <w:shd w:val="clear" w:color="auto" w:fill="F8F9FA"/>
        <w:spacing w:before="100" w:beforeAutospacing="1" w:after="100" w:afterAutospacing="1" w:line="390" w:lineRule="atLeast"/>
        <w:rPr>
          <w:rFonts w:ascii="Times New Roman" w:eastAsia="Times New Roman" w:hAnsi="Times New Roman" w:cs="Times New Roman"/>
          <w:color w:val="343A40"/>
          <w:sz w:val="24"/>
          <w:szCs w:val="24"/>
          <w:lang w:eastAsia="ru-RU"/>
        </w:rPr>
      </w:pPr>
      <w:r w:rsidRPr="008B5298">
        <w:rPr>
          <w:rFonts w:ascii="Times New Roman" w:eastAsia="Times New Roman" w:hAnsi="Times New Roman" w:cs="Times New Roman"/>
          <w:color w:val="343A40"/>
          <w:sz w:val="24"/>
          <w:szCs w:val="24"/>
          <w:lang w:eastAsia="ru-RU"/>
        </w:rPr>
        <w:t>Но есть случаи, когда обоснование НМЦК с единственным поставщиком все же потребуется. Если заключаете контракт по </w:t>
      </w:r>
      <w:hyperlink r:id="rId56" w:tgtFrame="_blank" w:history="1">
        <w:r w:rsidRPr="008B5298">
          <w:rPr>
            <w:rFonts w:ascii="Times New Roman" w:eastAsia="Times New Roman" w:hAnsi="Times New Roman" w:cs="Times New Roman"/>
            <w:color w:val="339CD3"/>
            <w:sz w:val="24"/>
            <w:szCs w:val="24"/>
            <w:u w:val="single"/>
            <w:lang w:eastAsia="ru-RU"/>
          </w:rPr>
          <w:t>п. 3, 6, 11, 12, 16, 18, 19, 22, 23, 30-35, 37-41, 46, 49 ч. 1 ст. 93</w:t>
        </w:r>
      </w:hyperlink>
      <w:r w:rsidRPr="008B5298">
        <w:rPr>
          <w:rFonts w:ascii="Times New Roman" w:eastAsia="Times New Roman" w:hAnsi="Times New Roman" w:cs="Times New Roman"/>
          <w:color w:val="343A40"/>
          <w:sz w:val="24"/>
          <w:szCs w:val="24"/>
          <w:lang w:eastAsia="ru-RU"/>
        </w:rPr>
        <w:t>, подготовьте форму-обоснование. Укажите стоимость контракта, метод ее расчета и перечислите подтверждающие документы.</w:t>
      </w:r>
    </w:p>
    <w:p w:rsidR="008B5298" w:rsidRPr="008B5298" w:rsidRDefault="008B5298" w:rsidP="008B5298">
      <w:pPr>
        <w:shd w:val="clear" w:color="auto" w:fill="FBEDB0"/>
        <w:spacing w:after="60" w:line="390" w:lineRule="atLeast"/>
        <w:rPr>
          <w:rFonts w:ascii="Times New Roman" w:eastAsia="Times New Roman" w:hAnsi="Times New Roman" w:cs="Times New Roman"/>
          <w:b/>
          <w:bCs/>
          <w:color w:val="343A40"/>
          <w:sz w:val="27"/>
          <w:szCs w:val="27"/>
          <w:lang w:eastAsia="ru-RU"/>
        </w:rPr>
      </w:pPr>
      <w:r w:rsidRPr="008B5298">
        <w:rPr>
          <w:rFonts w:ascii="Times New Roman" w:eastAsia="Times New Roman" w:hAnsi="Times New Roman" w:cs="Times New Roman"/>
          <w:b/>
          <w:bCs/>
          <w:color w:val="343A40"/>
          <w:sz w:val="27"/>
          <w:szCs w:val="27"/>
          <w:lang w:eastAsia="ru-RU"/>
        </w:rPr>
        <w:t>Важно!</w:t>
      </w:r>
    </w:p>
    <w:p w:rsidR="008B5298" w:rsidRPr="008B5298" w:rsidRDefault="008B5298" w:rsidP="008B5298">
      <w:pPr>
        <w:shd w:val="clear" w:color="auto" w:fill="FBEDB0"/>
        <w:spacing w:line="450" w:lineRule="atLeast"/>
        <w:rPr>
          <w:rFonts w:ascii="Times New Roman" w:eastAsia="Times New Roman" w:hAnsi="Times New Roman" w:cs="Times New Roman"/>
          <w:color w:val="343A40"/>
          <w:sz w:val="27"/>
          <w:szCs w:val="27"/>
          <w:lang w:eastAsia="ru-RU"/>
        </w:rPr>
      </w:pPr>
      <w:r w:rsidRPr="008B5298">
        <w:rPr>
          <w:rFonts w:ascii="Times New Roman" w:eastAsia="Times New Roman" w:hAnsi="Times New Roman" w:cs="Times New Roman"/>
          <w:color w:val="343A40"/>
          <w:sz w:val="27"/>
          <w:szCs w:val="27"/>
          <w:lang w:eastAsia="ru-RU"/>
        </w:rPr>
        <w:t>Если проводите закупку у единственного поставщика по п. 4, 5 ч. 1 ст. 93 44-ФЗ в электронной форме, сформируйте извещение, приложите к нему проект контракта и обоснование ЦК (п. 4 ч. 12 ст. 93 44-ФЗ).</w:t>
      </w:r>
    </w:p>
    <w:p w:rsidR="0070554D" w:rsidRDefault="0070554D"/>
    <w:sectPr w:rsidR="0070554D" w:rsidSect="00705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33E4"/>
    <w:multiLevelType w:val="multilevel"/>
    <w:tmpl w:val="DBC0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9456B6"/>
    <w:multiLevelType w:val="multilevel"/>
    <w:tmpl w:val="870C8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C65926"/>
    <w:multiLevelType w:val="multilevel"/>
    <w:tmpl w:val="A38A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71470"/>
    <w:multiLevelType w:val="multilevel"/>
    <w:tmpl w:val="8BCA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B74CB"/>
    <w:multiLevelType w:val="multilevel"/>
    <w:tmpl w:val="E50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C21D91"/>
    <w:multiLevelType w:val="multilevel"/>
    <w:tmpl w:val="1AC2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298"/>
    <w:rsid w:val="0070554D"/>
    <w:rsid w:val="008B5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4D"/>
  </w:style>
  <w:style w:type="paragraph" w:styleId="2">
    <w:name w:val="heading 2"/>
    <w:basedOn w:val="a"/>
    <w:link w:val="20"/>
    <w:uiPriority w:val="9"/>
    <w:qFormat/>
    <w:rsid w:val="008B52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529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B5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298"/>
    <w:rPr>
      <w:color w:val="0000FF"/>
      <w:u w:val="single"/>
    </w:rPr>
  </w:style>
  <w:style w:type="character" w:styleId="a5">
    <w:name w:val="Strong"/>
    <w:basedOn w:val="a0"/>
    <w:uiPriority w:val="22"/>
    <w:qFormat/>
    <w:rsid w:val="008B5298"/>
    <w:rPr>
      <w:b/>
      <w:bCs/>
    </w:rPr>
  </w:style>
  <w:style w:type="character" w:customStyle="1" w:styleId="ppt-document">
    <w:name w:val="ppt-document"/>
    <w:basedOn w:val="a0"/>
    <w:rsid w:val="008B5298"/>
  </w:style>
  <w:style w:type="character" w:customStyle="1" w:styleId="ppt-codex">
    <w:name w:val="ppt-codex"/>
    <w:basedOn w:val="a0"/>
    <w:rsid w:val="008B5298"/>
  </w:style>
  <w:style w:type="paragraph" w:styleId="a6">
    <w:name w:val="Balloon Text"/>
    <w:basedOn w:val="a"/>
    <w:link w:val="a7"/>
    <w:uiPriority w:val="99"/>
    <w:semiHidden/>
    <w:unhideWhenUsed/>
    <w:rsid w:val="008B52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5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583578">
      <w:bodyDiv w:val="1"/>
      <w:marLeft w:val="0"/>
      <w:marRight w:val="0"/>
      <w:marTop w:val="0"/>
      <w:marBottom w:val="0"/>
      <w:divBdr>
        <w:top w:val="none" w:sz="0" w:space="0" w:color="auto"/>
        <w:left w:val="none" w:sz="0" w:space="0" w:color="auto"/>
        <w:bottom w:val="none" w:sz="0" w:space="0" w:color="auto"/>
        <w:right w:val="none" w:sz="0" w:space="0" w:color="auto"/>
      </w:divBdr>
      <w:divsChild>
        <w:div w:id="1433865613">
          <w:marLeft w:val="0"/>
          <w:marRight w:val="0"/>
          <w:marTop w:val="0"/>
          <w:marBottom w:val="0"/>
          <w:divBdr>
            <w:top w:val="none" w:sz="0" w:space="0" w:color="auto"/>
            <w:left w:val="none" w:sz="0" w:space="0" w:color="auto"/>
            <w:bottom w:val="none" w:sz="0" w:space="0" w:color="auto"/>
            <w:right w:val="none" w:sz="0" w:space="0" w:color="auto"/>
          </w:divBdr>
        </w:div>
        <w:div w:id="1426225904">
          <w:marLeft w:val="0"/>
          <w:marRight w:val="0"/>
          <w:marTop w:val="300"/>
          <w:marBottom w:val="300"/>
          <w:divBdr>
            <w:top w:val="none" w:sz="0" w:space="0" w:color="auto"/>
            <w:left w:val="none" w:sz="0" w:space="0" w:color="auto"/>
            <w:bottom w:val="none" w:sz="0" w:space="0" w:color="auto"/>
            <w:right w:val="none" w:sz="0" w:space="0" w:color="auto"/>
          </w:divBdr>
        </w:div>
        <w:div w:id="1356149131">
          <w:marLeft w:val="0"/>
          <w:marRight w:val="0"/>
          <w:marTop w:val="300"/>
          <w:marBottom w:val="240"/>
          <w:divBdr>
            <w:top w:val="single" w:sz="6" w:space="0" w:color="E9ECEF"/>
            <w:left w:val="single" w:sz="6" w:space="0" w:color="E9ECEF"/>
            <w:bottom w:val="single" w:sz="6" w:space="0" w:color="E9ECEF"/>
            <w:right w:val="single" w:sz="6" w:space="0" w:color="E9ECEF"/>
          </w:divBdr>
          <w:divsChild>
            <w:div w:id="89736266">
              <w:marLeft w:val="0"/>
              <w:marRight w:val="0"/>
              <w:marTop w:val="0"/>
              <w:marBottom w:val="0"/>
              <w:divBdr>
                <w:top w:val="none" w:sz="0" w:space="0" w:color="auto"/>
                <w:left w:val="none" w:sz="0" w:space="0" w:color="auto"/>
                <w:bottom w:val="none" w:sz="0" w:space="0" w:color="auto"/>
                <w:right w:val="none" w:sz="0" w:space="0" w:color="auto"/>
              </w:divBdr>
              <w:divsChild>
                <w:div w:id="229735463">
                  <w:marLeft w:val="0"/>
                  <w:marRight w:val="0"/>
                  <w:marTop w:val="0"/>
                  <w:marBottom w:val="0"/>
                  <w:divBdr>
                    <w:top w:val="none" w:sz="0" w:space="0" w:color="auto"/>
                    <w:left w:val="none" w:sz="0" w:space="0" w:color="auto"/>
                    <w:bottom w:val="none" w:sz="0" w:space="0" w:color="auto"/>
                    <w:right w:val="none" w:sz="0" w:space="0" w:color="auto"/>
                  </w:divBdr>
                  <w:divsChild>
                    <w:div w:id="66726642">
                      <w:marLeft w:val="0"/>
                      <w:marRight w:val="0"/>
                      <w:marTop w:val="0"/>
                      <w:marBottom w:val="180"/>
                      <w:divBdr>
                        <w:top w:val="none" w:sz="0" w:space="0" w:color="auto"/>
                        <w:left w:val="none" w:sz="0" w:space="0" w:color="auto"/>
                        <w:bottom w:val="none" w:sz="0" w:space="0" w:color="auto"/>
                        <w:right w:val="none" w:sz="0" w:space="0" w:color="auto"/>
                      </w:divBdr>
                    </w:div>
                    <w:div w:id="1143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346">
              <w:marLeft w:val="0"/>
              <w:marRight w:val="0"/>
              <w:marTop w:val="0"/>
              <w:marBottom w:val="0"/>
              <w:divBdr>
                <w:top w:val="single" w:sz="6" w:space="0" w:color="E9ECEF"/>
                <w:left w:val="none" w:sz="0" w:space="0" w:color="auto"/>
                <w:bottom w:val="none" w:sz="0" w:space="0" w:color="auto"/>
                <w:right w:val="none" w:sz="0" w:space="0" w:color="auto"/>
              </w:divBdr>
            </w:div>
          </w:divsChild>
        </w:div>
        <w:div w:id="749043336">
          <w:marLeft w:val="0"/>
          <w:marRight w:val="0"/>
          <w:marTop w:val="0"/>
          <w:marBottom w:val="450"/>
          <w:divBdr>
            <w:top w:val="none" w:sz="0" w:space="0" w:color="auto"/>
            <w:left w:val="none" w:sz="0" w:space="0" w:color="auto"/>
            <w:bottom w:val="none" w:sz="0" w:space="0" w:color="auto"/>
            <w:right w:val="none" w:sz="0" w:space="0" w:color="auto"/>
          </w:divBdr>
          <w:divsChild>
            <w:div w:id="265040630">
              <w:marLeft w:val="0"/>
              <w:marRight w:val="0"/>
              <w:marTop w:val="0"/>
              <w:marBottom w:val="0"/>
              <w:divBdr>
                <w:top w:val="none" w:sz="0" w:space="0" w:color="auto"/>
                <w:left w:val="none" w:sz="0" w:space="0" w:color="auto"/>
                <w:bottom w:val="none" w:sz="0" w:space="0" w:color="auto"/>
                <w:right w:val="none" w:sz="0" w:space="0" w:color="auto"/>
              </w:divBdr>
              <w:divsChild>
                <w:div w:id="1107844813">
                  <w:marLeft w:val="0"/>
                  <w:marRight w:val="0"/>
                  <w:marTop w:val="0"/>
                  <w:marBottom w:val="0"/>
                  <w:divBdr>
                    <w:top w:val="none" w:sz="0" w:space="0" w:color="auto"/>
                    <w:left w:val="none" w:sz="0" w:space="0" w:color="auto"/>
                    <w:bottom w:val="none" w:sz="0" w:space="0" w:color="auto"/>
                    <w:right w:val="none" w:sz="0" w:space="0" w:color="auto"/>
                  </w:divBdr>
                  <w:divsChild>
                    <w:div w:id="639724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6219452">
          <w:marLeft w:val="0"/>
          <w:marRight w:val="0"/>
          <w:marTop w:val="450"/>
          <w:marBottom w:val="450"/>
          <w:divBdr>
            <w:top w:val="none" w:sz="0" w:space="0" w:color="auto"/>
            <w:left w:val="none" w:sz="0" w:space="0" w:color="auto"/>
            <w:bottom w:val="none" w:sz="0" w:space="0" w:color="auto"/>
            <w:right w:val="none" w:sz="0" w:space="0" w:color="auto"/>
          </w:divBdr>
          <w:divsChild>
            <w:div w:id="1618952414">
              <w:marLeft w:val="0"/>
              <w:marRight w:val="0"/>
              <w:marTop w:val="0"/>
              <w:marBottom w:val="60"/>
              <w:divBdr>
                <w:top w:val="none" w:sz="0" w:space="0" w:color="auto"/>
                <w:left w:val="none" w:sz="0" w:space="0" w:color="auto"/>
                <w:bottom w:val="none" w:sz="0" w:space="0" w:color="auto"/>
                <w:right w:val="none" w:sz="0" w:space="0" w:color="auto"/>
              </w:divBdr>
            </w:div>
            <w:div w:id="248346915">
              <w:marLeft w:val="0"/>
              <w:marRight w:val="0"/>
              <w:marTop w:val="0"/>
              <w:marBottom w:val="0"/>
              <w:divBdr>
                <w:top w:val="none" w:sz="0" w:space="0" w:color="auto"/>
                <w:left w:val="none" w:sz="0" w:space="0" w:color="auto"/>
                <w:bottom w:val="none" w:sz="0" w:space="0" w:color="auto"/>
                <w:right w:val="none" w:sz="0" w:space="0" w:color="auto"/>
              </w:divBdr>
            </w:div>
          </w:divsChild>
        </w:div>
        <w:div w:id="2083869597">
          <w:marLeft w:val="0"/>
          <w:marRight w:val="0"/>
          <w:marTop w:val="0"/>
          <w:marBottom w:val="0"/>
          <w:divBdr>
            <w:top w:val="none" w:sz="0" w:space="0" w:color="auto"/>
            <w:left w:val="none" w:sz="0" w:space="0" w:color="auto"/>
            <w:bottom w:val="none" w:sz="0" w:space="0" w:color="auto"/>
            <w:right w:val="none" w:sz="0" w:space="0" w:color="auto"/>
          </w:divBdr>
        </w:div>
        <w:div w:id="909314389">
          <w:marLeft w:val="0"/>
          <w:marRight w:val="0"/>
          <w:marTop w:val="450"/>
          <w:marBottom w:val="450"/>
          <w:divBdr>
            <w:top w:val="none" w:sz="0" w:space="0" w:color="auto"/>
            <w:left w:val="none" w:sz="0" w:space="0" w:color="auto"/>
            <w:bottom w:val="none" w:sz="0" w:space="0" w:color="auto"/>
            <w:right w:val="none" w:sz="0" w:space="0" w:color="auto"/>
          </w:divBdr>
          <w:divsChild>
            <w:div w:id="1151094157">
              <w:marLeft w:val="0"/>
              <w:marRight w:val="0"/>
              <w:marTop w:val="0"/>
              <w:marBottom w:val="0"/>
              <w:divBdr>
                <w:top w:val="none" w:sz="0" w:space="0" w:color="auto"/>
                <w:left w:val="none" w:sz="0" w:space="0" w:color="auto"/>
                <w:bottom w:val="none" w:sz="0" w:space="0" w:color="auto"/>
                <w:right w:val="none" w:sz="0" w:space="0" w:color="auto"/>
              </w:divBdr>
            </w:div>
            <w:div w:id="1222906008">
              <w:marLeft w:val="0"/>
              <w:marRight w:val="0"/>
              <w:marTop w:val="210"/>
              <w:marBottom w:val="0"/>
              <w:divBdr>
                <w:top w:val="none" w:sz="0" w:space="0" w:color="auto"/>
                <w:left w:val="none" w:sz="0" w:space="0" w:color="auto"/>
                <w:bottom w:val="none" w:sz="0" w:space="0" w:color="auto"/>
                <w:right w:val="none" w:sz="0" w:space="0" w:color="auto"/>
              </w:divBdr>
            </w:div>
          </w:divsChild>
        </w:div>
        <w:div w:id="1703940014">
          <w:marLeft w:val="0"/>
          <w:marRight w:val="0"/>
          <w:marTop w:val="450"/>
          <w:marBottom w:val="450"/>
          <w:divBdr>
            <w:top w:val="none" w:sz="0" w:space="0" w:color="auto"/>
            <w:left w:val="none" w:sz="0" w:space="0" w:color="auto"/>
            <w:bottom w:val="none" w:sz="0" w:space="0" w:color="auto"/>
            <w:right w:val="none" w:sz="0" w:space="0" w:color="auto"/>
          </w:divBdr>
          <w:divsChild>
            <w:div w:id="1555508299">
              <w:marLeft w:val="0"/>
              <w:marRight w:val="0"/>
              <w:marTop w:val="0"/>
              <w:marBottom w:val="60"/>
              <w:divBdr>
                <w:top w:val="none" w:sz="0" w:space="0" w:color="auto"/>
                <w:left w:val="none" w:sz="0" w:space="0" w:color="auto"/>
                <w:bottom w:val="none" w:sz="0" w:space="0" w:color="auto"/>
                <w:right w:val="none" w:sz="0" w:space="0" w:color="auto"/>
              </w:divBdr>
            </w:div>
            <w:div w:id="1373726576">
              <w:marLeft w:val="0"/>
              <w:marRight w:val="0"/>
              <w:marTop w:val="0"/>
              <w:marBottom w:val="0"/>
              <w:divBdr>
                <w:top w:val="none" w:sz="0" w:space="0" w:color="auto"/>
                <w:left w:val="none" w:sz="0" w:space="0" w:color="auto"/>
                <w:bottom w:val="none" w:sz="0" w:space="0" w:color="auto"/>
                <w:right w:val="none" w:sz="0" w:space="0" w:color="auto"/>
              </w:divBdr>
            </w:div>
          </w:divsChild>
        </w:div>
        <w:div w:id="356780569">
          <w:marLeft w:val="0"/>
          <w:marRight w:val="0"/>
          <w:marTop w:val="450"/>
          <w:marBottom w:val="450"/>
          <w:divBdr>
            <w:top w:val="none" w:sz="0" w:space="0" w:color="auto"/>
            <w:left w:val="none" w:sz="0" w:space="0" w:color="auto"/>
            <w:bottom w:val="none" w:sz="0" w:space="0" w:color="auto"/>
            <w:right w:val="none" w:sz="0" w:space="0" w:color="auto"/>
          </w:divBdr>
          <w:divsChild>
            <w:div w:id="1333022902">
              <w:marLeft w:val="0"/>
              <w:marRight w:val="0"/>
              <w:marTop w:val="0"/>
              <w:marBottom w:val="60"/>
              <w:divBdr>
                <w:top w:val="none" w:sz="0" w:space="0" w:color="auto"/>
                <w:left w:val="none" w:sz="0" w:space="0" w:color="auto"/>
                <w:bottom w:val="none" w:sz="0" w:space="0" w:color="auto"/>
                <w:right w:val="none" w:sz="0" w:space="0" w:color="auto"/>
              </w:divBdr>
            </w:div>
            <w:div w:id="147285066">
              <w:marLeft w:val="0"/>
              <w:marRight w:val="0"/>
              <w:marTop w:val="0"/>
              <w:marBottom w:val="0"/>
              <w:divBdr>
                <w:top w:val="none" w:sz="0" w:space="0" w:color="auto"/>
                <w:left w:val="none" w:sz="0" w:space="0" w:color="auto"/>
                <w:bottom w:val="none" w:sz="0" w:space="0" w:color="auto"/>
                <w:right w:val="none" w:sz="0" w:space="0" w:color="auto"/>
              </w:divBdr>
            </w:div>
          </w:divsChild>
        </w:div>
        <w:div w:id="1495728904">
          <w:marLeft w:val="0"/>
          <w:marRight w:val="0"/>
          <w:marTop w:val="450"/>
          <w:marBottom w:val="450"/>
          <w:divBdr>
            <w:top w:val="none" w:sz="0" w:space="0" w:color="auto"/>
            <w:left w:val="none" w:sz="0" w:space="0" w:color="auto"/>
            <w:bottom w:val="none" w:sz="0" w:space="0" w:color="auto"/>
            <w:right w:val="none" w:sz="0" w:space="0" w:color="auto"/>
          </w:divBdr>
          <w:divsChild>
            <w:div w:id="769543452">
              <w:marLeft w:val="0"/>
              <w:marRight w:val="0"/>
              <w:marTop w:val="0"/>
              <w:marBottom w:val="60"/>
              <w:divBdr>
                <w:top w:val="none" w:sz="0" w:space="0" w:color="auto"/>
                <w:left w:val="none" w:sz="0" w:space="0" w:color="auto"/>
                <w:bottom w:val="none" w:sz="0" w:space="0" w:color="auto"/>
                <w:right w:val="none" w:sz="0" w:space="0" w:color="auto"/>
              </w:divBdr>
            </w:div>
            <w:div w:id="1247958401">
              <w:marLeft w:val="0"/>
              <w:marRight w:val="0"/>
              <w:marTop w:val="0"/>
              <w:marBottom w:val="0"/>
              <w:divBdr>
                <w:top w:val="none" w:sz="0" w:space="0" w:color="auto"/>
                <w:left w:val="none" w:sz="0" w:space="0" w:color="auto"/>
                <w:bottom w:val="none" w:sz="0" w:space="0" w:color="auto"/>
                <w:right w:val="none" w:sz="0" w:space="0" w:color="auto"/>
              </w:divBdr>
            </w:div>
          </w:divsChild>
        </w:div>
        <w:div w:id="1427379630">
          <w:marLeft w:val="0"/>
          <w:marRight w:val="0"/>
          <w:marTop w:val="450"/>
          <w:marBottom w:val="450"/>
          <w:divBdr>
            <w:top w:val="none" w:sz="0" w:space="0" w:color="auto"/>
            <w:left w:val="none" w:sz="0" w:space="0" w:color="auto"/>
            <w:bottom w:val="none" w:sz="0" w:space="0" w:color="auto"/>
            <w:right w:val="none" w:sz="0" w:space="0" w:color="auto"/>
          </w:divBdr>
          <w:divsChild>
            <w:div w:id="1190335741">
              <w:marLeft w:val="0"/>
              <w:marRight w:val="0"/>
              <w:marTop w:val="0"/>
              <w:marBottom w:val="60"/>
              <w:divBdr>
                <w:top w:val="none" w:sz="0" w:space="0" w:color="auto"/>
                <w:left w:val="none" w:sz="0" w:space="0" w:color="auto"/>
                <w:bottom w:val="none" w:sz="0" w:space="0" w:color="auto"/>
                <w:right w:val="none" w:sz="0" w:space="0" w:color="auto"/>
              </w:divBdr>
            </w:div>
            <w:div w:id="7861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pt.ru/art/zakupki/metody-obosnovaniya-nmtsk" TargetMode="External"/><Relationship Id="rId18" Type="http://schemas.openxmlformats.org/officeDocument/2006/relationships/hyperlink" Target="https://ppt.ru/cons/d08zmS3Q" TargetMode="External"/><Relationship Id="rId26" Type="http://schemas.openxmlformats.org/officeDocument/2006/relationships/image" Target="media/image3.jpeg"/><Relationship Id="rId39" Type="http://schemas.openxmlformats.org/officeDocument/2006/relationships/image" Target="media/image6.jpeg"/><Relationship Id="rId21" Type="http://schemas.openxmlformats.org/officeDocument/2006/relationships/hyperlink" Target="https://ppt.ru/fls/125047/obrazec-blank-obosnovaniya-nmtsk-2022-05.jpg" TargetMode="External"/><Relationship Id="rId34" Type="http://schemas.openxmlformats.org/officeDocument/2006/relationships/hyperlink" Target="https://ppt.ru/cons/?n=31894" TargetMode="External"/><Relationship Id="rId42" Type="http://schemas.openxmlformats.org/officeDocument/2006/relationships/image" Target="media/image7.jpeg"/><Relationship Id="rId47" Type="http://schemas.openxmlformats.org/officeDocument/2006/relationships/hyperlink" Target="https://ppt.ru/cons/?n=341208" TargetMode="External"/><Relationship Id="rId50" Type="http://schemas.openxmlformats.org/officeDocument/2006/relationships/hyperlink" Target="https://ppt.ru/cons/?n=207171" TargetMode="External"/><Relationship Id="rId55" Type="http://schemas.openxmlformats.org/officeDocument/2006/relationships/hyperlink" Target="https://ppt.ru/cons/Jxcn7Tat" TargetMode="External"/><Relationship Id="rId7" Type="http://schemas.openxmlformats.org/officeDocument/2006/relationships/hyperlink" Target="https://ppt.ru/art/zakupki/metody-obosnovaniya-nmtsk" TargetMode="External"/><Relationship Id="rId12" Type="http://schemas.openxmlformats.org/officeDocument/2006/relationships/hyperlink" Target="https://ppt.ru/art/zakupki/metody-obosnovaniya-nmtsk" TargetMode="External"/><Relationship Id="rId17" Type="http://schemas.openxmlformats.org/officeDocument/2006/relationships/hyperlink" Target="https://ppt.ru/cons/sCfV6KGk" TargetMode="External"/><Relationship Id="rId25" Type="http://schemas.openxmlformats.org/officeDocument/2006/relationships/hyperlink" Target="https://ppt.ru/fls/125047/1-2022-05.jpg" TargetMode="External"/><Relationship Id="rId33" Type="http://schemas.openxmlformats.org/officeDocument/2006/relationships/hyperlink" Target="https://ppt.ru/cons/?n=102975" TargetMode="External"/><Relationship Id="rId38" Type="http://schemas.openxmlformats.org/officeDocument/2006/relationships/hyperlink" Target="https://ppt.ru/fls/125047/obrazec-rascheta-nmtsk-proyektno-smetnym-metodom-2022-05.jpg" TargetMode="External"/><Relationship Id="rId46" Type="http://schemas.openxmlformats.org/officeDocument/2006/relationships/hyperlink" Target="https://ppt.ru/cons/?n=121441" TargetMode="External"/><Relationship Id="rId2" Type="http://schemas.openxmlformats.org/officeDocument/2006/relationships/styles" Target="styles.xml"/><Relationship Id="rId16" Type="http://schemas.openxmlformats.org/officeDocument/2006/relationships/hyperlink" Target="https://ppt.ru/cons/MLn5rZwA" TargetMode="External"/><Relationship Id="rId20" Type="http://schemas.openxmlformats.org/officeDocument/2006/relationships/hyperlink" Target="https://ppt.ru/cons/?n=153376" TargetMode="External"/><Relationship Id="rId29" Type="http://schemas.openxmlformats.org/officeDocument/2006/relationships/hyperlink" Target="https://ppt.ru/fls/125047/obrazec-obosnovaniya-nmtsk-metodom-analiza-rinka-2022-05.jpg" TargetMode="External"/><Relationship Id="rId41" Type="http://schemas.openxmlformats.org/officeDocument/2006/relationships/hyperlink" Target="https://ppt.ru/fls/125047/3-2022-05.jpg" TargetMode="External"/><Relationship Id="rId54" Type="http://schemas.openxmlformats.org/officeDocument/2006/relationships/hyperlink" Target="https://ppt.ru/cons/WH3Kx6Xg" TargetMode="External"/><Relationship Id="rId1" Type="http://schemas.openxmlformats.org/officeDocument/2006/relationships/numbering" Target="numbering.xml"/><Relationship Id="rId6" Type="http://schemas.openxmlformats.org/officeDocument/2006/relationships/hyperlink" Target="https://ppt.ru/art/zakupki/metody-obosnovaniya-nmtsk" TargetMode="External"/><Relationship Id="rId11" Type="http://schemas.openxmlformats.org/officeDocument/2006/relationships/hyperlink" Target="https://ppt.ru/art/zakupki/metody-obosnovaniya-nmtsk" TargetMode="External"/><Relationship Id="rId24" Type="http://schemas.openxmlformats.org/officeDocument/2006/relationships/hyperlink" Target="https://ppt.ru/cons/2GTAw1yd" TargetMode="External"/><Relationship Id="rId32" Type="http://schemas.openxmlformats.org/officeDocument/2006/relationships/hyperlink" Target="https://ppt.ru/cons/?n=41502" TargetMode="External"/><Relationship Id="rId37" Type="http://schemas.openxmlformats.org/officeDocument/2006/relationships/hyperlink" Target="https://ppt.ru/cons/?n=344610" TargetMode="External"/><Relationship Id="rId40" Type="http://schemas.openxmlformats.org/officeDocument/2006/relationships/hyperlink" Target="https://zakupki.gov.ru/epz/normalizationrules/search/results.html" TargetMode="External"/><Relationship Id="rId45" Type="http://schemas.openxmlformats.org/officeDocument/2006/relationships/hyperlink" Target="https://ppt.ru/cons/?n=103909" TargetMode="External"/><Relationship Id="rId53" Type="http://schemas.openxmlformats.org/officeDocument/2006/relationships/hyperlink" Target="https://regulation.gov.ru/projects"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pt.ru/art/zakupki/metody-obosnovaniya-nmtsk" TargetMode="External"/><Relationship Id="rId23" Type="http://schemas.openxmlformats.org/officeDocument/2006/relationships/hyperlink" Target="https://ppt.ru/cons/ch4Fs7tG" TargetMode="External"/><Relationship Id="rId28" Type="http://schemas.openxmlformats.org/officeDocument/2006/relationships/image" Target="media/image4.jpeg"/><Relationship Id="rId36" Type="http://schemas.openxmlformats.org/officeDocument/2006/relationships/hyperlink" Target="https://ppt.ru/cons/rs2PQYd4" TargetMode="External"/><Relationship Id="rId49" Type="http://schemas.openxmlformats.org/officeDocument/2006/relationships/hyperlink" Target="https://ppt.ru/cons/?n=78528" TargetMode="External"/><Relationship Id="rId57" Type="http://schemas.openxmlformats.org/officeDocument/2006/relationships/fontTable" Target="fontTable.xml"/><Relationship Id="rId10" Type="http://schemas.openxmlformats.org/officeDocument/2006/relationships/hyperlink" Target="https://ppt.ru/art/zakupki/metody-obosnovaniya-nmtsk" TargetMode="External"/><Relationship Id="rId19" Type="http://schemas.openxmlformats.org/officeDocument/2006/relationships/hyperlink" Target="https://ppt.ru/cons/DVA07BHs" TargetMode="External"/><Relationship Id="rId31" Type="http://schemas.openxmlformats.org/officeDocument/2006/relationships/hyperlink" Target="https://ppt.ru/cons/?n=122867" TargetMode="External"/><Relationship Id="rId44" Type="http://schemas.openxmlformats.org/officeDocument/2006/relationships/hyperlink" Target="https://ppt.ru/cons/?n=284195" TargetMode="External"/><Relationship Id="rId52" Type="http://schemas.openxmlformats.org/officeDocument/2006/relationships/hyperlink" Target="https://ppt.ru/cons/?n=383133" TargetMode="External"/><Relationship Id="rId4" Type="http://schemas.openxmlformats.org/officeDocument/2006/relationships/webSettings" Target="webSettings.xml"/><Relationship Id="rId9" Type="http://schemas.openxmlformats.org/officeDocument/2006/relationships/hyperlink" Target="https://ppt.ru/art/zakupki/metody-obosnovaniya-nmtsk" TargetMode="External"/><Relationship Id="rId14" Type="http://schemas.openxmlformats.org/officeDocument/2006/relationships/hyperlink" Target="https://ppt.ru/art/zakupki/metody-obosnovaniya-nmtsk" TargetMode="External"/><Relationship Id="rId22" Type="http://schemas.openxmlformats.org/officeDocument/2006/relationships/image" Target="media/image2.jpeg"/><Relationship Id="rId27" Type="http://schemas.openxmlformats.org/officeDocument/2006/relationships/hyperlink" Target="https://ppt.ru/fls/125047/2-2022-05.jpg" TargetMode="External"/><Relationship Id="rId30" Type="http://schemas.openxmlformats.org/officeDocument/2006/relationships/image" Target="media/image5.jpeg"/><Relationship Id="rId35" Type="http://schemas.openxmlformats.org/officeDocument/2006/relationships/hyperlink" Target="https://ppt.ru/kodeks/grk/st-8.3" TargetMode="External"/><Relationship Id="rId43" Type="http://schemas.openxmlformats.org/officeDocument/2006/relationships/hyperlink" Target="https://ppt.ru/cons/xS4CrLy3" TargetMode="External"/><Relationship Id="rId48" Type="http://schemas.openxmlformats.org/officeDocument/2006/relationships/hyperlink" Target="https://ppt.ru/cons/?n=360360" TargetMode="External"/><Relationship Id="rId56" Type="http://schemas.openxmlformats.org/officeDocument/2006/relationships/hyperlink" Target="https://ppt.ru/cons/9awzDHQY" TargetMode="External"/><Relationship Id="rId8" Type="http://schemas.openxmlformats.org/officeDocument/2006/relationships/hyperlink" Target="https://ppt.ru/art/zakupki/metody-obosnovaniya-nmtsk" TargetMode="External"/><Relationship Id="rId51" Type="http://schemas.openxmlformats.org/officeDocument/2006/relationships/hyperlink" Target="https://ppt.ru/cons/?n=40409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2198</Words>
  <Characters>12529</Characters>
  <Application>Microsoft Office Word</Application>
  <DocSecurity>0</DocSecurity>
  <Lines>104</Lines>
  <Paragraphs>29</Paragraphs>
  <ScaleCrop>false</ScaleCrop>
  <Company/>
  <LinksUpToDate>false</LinksUpToDate>
  <CharactersWithSpaces>14698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2022-05-24T06:15:00Z</dcterms:created>
  <dcterms:modified xsi:type="dcterms:W3CDTF">2022-05-24T06:16:00Z</dcterms:modified>
</cp:coreProperties>
</file>