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8"/>
        <w:spacing w:before="40" w:after="0"/>
        <w:rPr>
          <w:rFonts w:ascii="Arial" w:hAnsi="Arial"/>
        </w:rPr>
      </w:pPr>
      <w:bookmarkStart w:id="0" w:name="_Toc1013715241"/>
      <w:bookmarkStart w:id="1" w:name="_9gp8wybzgxl"/>
      <w:bookmarkStart w:id="2" w:name="_Toc1001518271"/>
      <w:bookmarkEnd w:id="0"/>
      <w:bookmarkEnd w:id="1"/>
      <w:bookmarkEnd w:id="2"/>
      <w:r>
        <w:rPr>
          <w:rFonts w:ascii="Arial" w:hAnsi="Arial"/>
        </w:rPr>
        <w:t>Приложение 4.1.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  <w:color w:val="000000"/>
        </w:rPr>
        <w:t xml:space="preserve">Пример </w:t>
      </w:r>
      <w:r>
        <w:rPr>
          <w:rFonts w:cs="Arial" w:ascii="Arial" w:hAnsi="Arial"/>
          <w:color w:val="000000"/>
          <w:lang w:val="en-US"/>
        </w:rPr>
        <w:t>n</w:t>
      </w:r>
      <w:r>
        <w:rPr>
          <w:rFonts w:cs="Arial" w:ascii="Arial" w:hAnsi="Arial"/>
          <w:color w:val="000000"/>
        </w:rPr>
        <w:t>ехнического задания для разработки эскизного проекта.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76" w:before="0" w:after="0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</w:rPr>
        <w:t xml:space="preserve">Техническое задание на разработку эскизного проекта благоустройства общественной территории, расположенной на по адресу: </w:t>
      </w:r>
      <w:r>
        <w:rPr>
          <w:rFonts w:cs="Arial" w:ascii="Arial" w:hAnsi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Web"/>
        <w:spacing w:lineRule="auto" w:line="276" w:before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tbl>
      <w:tblPr>
        <w:tblW w:w="9315" w:type="dxa"/>
        <w:jc w:val="left"/>
        <w:tblInd w:w="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622"/>
        <w:gridCol w:w="2723"/>
        <w:gridCol w:w="5970"/>
      </w:tblGrid>
      <w:tr>
        <w:trPr/>
        <w:tc>
          <w:tcPr>
            <w:tcW w:w="62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№ </w:t>
            </w:r>
            <w:r>
              <w:rPr>
                <w:rFonts w:cs="Arial" w:ascii="Arial" w:hAnsi="Arial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27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Перечень основных требований</w:t>
            </w:r>
          </w:p>
        </w:tc>
        <w:tc>
          <w:tcPr>
            <w:tcW w:w="59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Содержание </w:t>
              <w:br/>
              <w:t>требований</w:t>
            </w:r>
          </w:p>
        </w:tc>
      </w:tr>
      <w:tr>
        <w:trPr>
          <w:trHeight w:val="475" w:hRule="atLeast"/>
        </w:trPr>
        <w:tc>
          <w:tcPr>
            <w:tcW w:w="9315" w:type="dxa"/>
            <w:gridSpan w:val="3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B6D7A8" w:val="clear"/>
          </w:tcPr>
          <w:p>
            <w:pPr>
              <w:pStyle w:val="NormalWeb"/>
              <w:widowControl w:val="false"/>
              <w:spacing w:lineRule="auto" w:line="276" w:before="0" w:after="0"/>
              <w:ind w:firstLine="90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1. Общие и исходные данные</w:t>
            </w:r>
          </w:p>
        </w:tc>
      </w:tr>
      <w:tr>
        <w:trPr>
          <w:trHeight w:val="127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1.1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Полное наименование работ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Разработка эскизного проекта благоустройства общественной территории, расположенной на по адресу 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72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1.2.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Наименование объекта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51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1.3.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Вид строительства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Благоустройство</w:t>
            </w:r>
          </w:p>
        </w:tc>
      </w:tr>
      <w:tr>
        <w:trPr>
          <w:trHeight w:val="87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1.4.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Основание для проектирования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72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12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1.5.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Сроки выполнения проектных работ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_________ рабочих дней с момента заключения контракта / договора.</w:t>
            </w:r>
          </w:p>
        </w:tc>
      </w:tr>
      <w:tr>
        <w:trPr>
          <w:trHeight w:val="2001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12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1.6.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Источники финансирования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hd w:val="clear" w:color="auto" w:fill="FFFFFF"/>
              <w:spacing w:lineRule="auto" w:line="276" w:before="0" w:after="12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96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Стадия I. Эскизный проект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Раздел 1. Предпроектный анализ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Раздел 2. Разработка эскизного проекта</w:t>
            </w:r>
          </w:p>
        </w:tc>
      </w:tr>
      <w:tr>
        <w:trPr>
          <w:trHeight w:val="471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Исходные данные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40" w:hanging="3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Исходные данные, материалы, предоставляемые Заказчиком: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40" w:hanging="3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Схема расположения земельного участка на кадастровом плане территории муниципального образования ___________ с адресным ориентиром _______________________________________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40" w:hanging="3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Отчет о социологических исследованиях.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40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Общественное техническое задание, полученное в результате взаимодействия с жителями в формате проектного семинара.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40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  <w:sz w:val="22"/>
                <w:szCs w:val="22"/>
              </w:rPr>
              <w:t>Инженерно-геодезические изыскания (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топографическая съемка в масштабе 1:500)</w:t>
            </w:r>
            <w:r>
              <w:rPr>
                <w:rFonts w:cs="Arial" w:ascii="Arial" w:hAnsi="Arial"/>
                <w:color w:val="00000A"/>
                <w:sz w:val="22"/>
                <w:szCs w:val="22"/>
              </w:rPr>
              <w:t xml:space="preserve">. В случае если данных предоставленных Заказчиком сведений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недостаточно, исполнитель самостоятельно и за свой счет дорабатывает представленные материалы </w:t>
            </w:r>
            <w:r>
              <w:rPr>
                <w:rFonts w:cs="Arial" w:ascii="Arial" w:hAnsi="Arial"/>
                <w:color w:val="00000A"/>
                <w:sz w:val="22"/>
                <w:szCs w:val="22"/>
              </w:rPr>
              <w:t>в объеме необходимом для проектирования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.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40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Иные материалы, имеющиеся в наличии у муниципального образования (заказчика) по работе с данной территорией.</w:t>
            </w:r>
          </w:p>
          <w:p>
            <w:pPr>
              <w:pStyle w:val="NormalWeb"/>
              <w:widowControl w:val="false"/>
              <w:numPr>
                <w:ilvl w:val="0"/>
                <w:numId w:val="1"/>
              </w:numPr>
              <w:spacing w:lineRule="auto" w:line="276" w:before="0" w:after="0"/>
              <w:ind w:left="340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Сбор иных исходных данных, необходимых для выполнения работ, осуществляет Подрядчик без дополнительной платы.</w:t>
            </w:r>
          </w:p>
        </w:tc>
      </w:tr>
      <w:tr>
        <w:trPr/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Описание участка и территории проектирования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Проектируемый объект расположен в Удмуртской Республике, ______________ районе, МО «________», территория ________________ (По возможности дать указание на земельные участки, приложить схему территории)</w:t>
            </w:r>
          </w:p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Общая площадь территории проектирования _____ га.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315" w:type="dxa"/>
            <w:gridSpan w:val="3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color="auto" w:fill="B6D7A8" w:val="clear"/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2. Основные требования к проектным решениям</w:t>
            </w:r>
          </w:p>
        </w:tc>
      </w:tr>
      <w:tr>
        <w:trPr/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12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2.1.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Градостроительные требования (на основе утвержденной градостроительной документации).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Обеспечить соответствие проектных решений градостроительным требованиям и документации по территориальному планированию</w:t>
            </w:r>
          </w:p>
        </w:tc>
      </w:tr>
      <w:tr>
        <w:trPr>
          <w:trHeight w:val="244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2.2.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Требования к составу и содержанию выполняемых работ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Эскизный проект (Разработка _________________</w:t>
              <w:br/>
              <w:t>___________________________________________ варианта/вариантов, с доработкой на основе полученных замечаний) разрабатывается на основании предпроектных исследований (градостроительного, социокультурного), натурного исследования территории и включает в себя следующие разделы:</w:t>
              <w:br/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1. Предпроектный анализ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Фотофиксация существующего состояния территории;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Визуальный ландшафтный анализ территорий, изучение актуального состояния зеленых насаждений, определение возможностей рельефа, существующих и потенциальных ландшафтных трансформаций территорий; Схема визуально-ландшафтного анализа территории проектирования (возможности рельефа и анализ существующего озеленения);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Анализ окружающих территорий, планов их развития и определение потенциальных взаимодействий с территориями; Схема общественных пространств;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Анализ существующих градостроительных и ограничительных регламентов; Схема ЗОУИТ (зон с особыми условиями использования территории) в границах территории проектирования;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Определение видов деятельности с учетом потребностей населения; Схема социальных, культурных, спортивных сооружений и других точек притяжения;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Изучение существующих технических коммуникаций, а также ограничений, накладываемых ими на территории; Схема расположения сетей инженерно-технического обеспечения и связанных с ними ограничений;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Анализ транспортной и пешеходной схем с учетом существующих потоков; Схема существующих транспортных, пешеходных и велосипедных маршрутов;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Анализ ситуации с автостоянками и проездами;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ситуации с автостоянками и проездами;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Иные планы, схемы, чертежи по согласованию между Подрядчиком и Заказчиком.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720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Раздел 2. Разработка эскизного проекта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Пояснительная записка. Краткое обоснование принятых функциональных и планировочных решений (основные характеристики, обоснование идеи), технико-экономические и планировочные показатели объекта проектирования;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существующего положения. Ситуационный план;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генерального плана территории проектирования (схема на основе масштаба 1:2000, на которой указано: размещение основных объектов капитального строительства и зон благоустройства);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функциональных зон территории проектирования;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зимнего/летнего использования территории проектирования;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Схема организации пешеходного, велосипедного и транспортного движени;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Спецификация МАФ, оборудования, озеленения, покрытий;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Рекомендации по инженерному обеспечению территории проектирования.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Рекомендации по внешнему облику объектов капитального строительства (описание материалов, RAL объемно-пространственной композиции, предельных габаритов, силуэта, стилистики решения фасадов).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Предложения по внесению изменений в документы территориального планирования, необходимые для реализации мероприятий, предусмотренных эскизным проектом.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 xml:space="preserve">Визуализации территории в количестве </w:t>
              <w:br/>
              <w:t>_________ шт.</w:t>
            </w:r>
          </w:p>
          <w:p>
            <w:pPr>
              <w:pStyle w:val="NormalWeb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Иные планы, схемы, чертежи по согласованию между Подрядчиком и Заказчиком.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Подрядчик должен представить итоговую версию Эскизного проекта, отвечающего следующим критериям:</w:t>
            </w:r>
          </w:p>
          <w:p>
            <w:pPr>
              <w:pStyle w:val="NormalWeb"/>
              <w:widowControl w:val="false"/>
              <w:numPr>
                <w:ilvl w:val="0"/>
                <w:numId w:val="4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Итоговая версия Эскизного проекта разрабатывается с учетом поступивших от Заказчика и заинтересованных сторон предложений и замечаний.</w:t>
            </w:r>
          </w:p>
          <w:p>
            <w:pPr>
              <w:pStyle w:val="NormalWeb"/>
              <w:widowControl w:val="false"/>
              <w:numPr>
                <w:ilvl w:val="0"/>
                <w:numId w:val="4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Сбор предложений и замечаний организуется путем проведения публичной презентации Эскизного проекта, состоящей из публичного мероприятия в ходе которого проводится презентация и обсуждение с участниками Эскизного проекта. Мероприятие должно соответствовать следующим критериям: количество участников мероприятия — не менее _________ человек (не менее 30, зависит от количества жителей); среди участников представлены: школьники от 14 лет, студенты, работники коммерческих организаций, работники государственных и муниципальных учреждений, руководители и сотрудники  органов государственной власти и органов местного самоуправления, руководители общественных объединений, собственники бизнеса и руководители коммерческих компаний, в том числе компаний-застройщиков, лидеры общественного мнения, пенсионеры, безработные.</w:t>
            </w:r>
          </w:p>
        </w:tc>
      </w:tr>
      <w:tr>
        <w:trPr>
          <w:trHeight w:val="3180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2.3.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Общие требования к проектным решениям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При разработке эскизного проекта учесть: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Результаты социологических исследований территории;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Общественное техническое задание, полученное в результате взаимодействия с жителями в формате проектного семинара;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Существующие технические ограничения территории проектирования (инженерные, транспортные и др.);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Моделирование видов деятельности с учетом потребностей населения;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Экономическая жизнеспособность и дальнейшая эксплуатация рекреационной зоны;</w:t>
            </w:r>
          </w:p>
          <w:p>
            <w:pPr>
              <w:pStyle w:val="NormalWeb"/>
              <w:widowControl w:val="false"/>
              <w:numPr>
                <w:ilvl w:val="0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Гармоничная интеграция в окружающую среду с учетом сложившейся и вновь формируемой застройки территории.</w:t>
            </w:r>
          </w:p>
          <w:p>
            <w:pPr>
              <w:pStyle w:val="NormalWeb"/>
              <w:widowControl w:val="false"/>
              <w:spacing w:lineRule="auto" w:line="276" w:before="0" w:after="0"/>
              <w:ind w:left="834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Проектом предусмотреть: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Максимальное сохранение существующих зеленых насаждений;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Озеленение территории, определение видов зеленых насаждений и их размещение;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Размещение функциональных зон в соответствии со сценариями поведения. В том числе транзит, прогулка/созерцание природы, зоны обслуживания (общепит/туалеты), зоны для занятий спортом, зоны для игр с детьми, зоны тихого отдыха, событийная зона и другие площадки в соответствии с объектами размещения;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Размещение малых архитектурных форм, уличной мебели;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Размещение элементов оформления, дизайна и освещения территории;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Устройство специального типа покрытия в зоне пешеходных маршрутов;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Разделение пешеходных, велосипедных и транспортных маршрутов;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Создание доступной среды и универсального дизайна с учетом доступности маломобильных групп населения (в том числе: занижение бордюра, тактильная плитка, пандусы);</w:t>
            </w:r>
          </w:p>
          <w:p>
            <w:pPr>
              <w:pStyle w:val="NormalWeb"/>
              <w:widowControl w:val="false"/>
              <w:numPr>
                <w:ilvl w:val="7"/>
                <w:numId w:val="5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Иные требования (прописываются в случае пожеланий и определенной специфики территории).</w:t>
            </w:r>
          </w:p>
        </w:tc>
      </w:tr>
      <w:tr>
        <w:trPr>
          <w:trHeight w:val="357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2.4.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Требования к инженерным изысканиям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Инженерные изыскания и обследования проводятся Подрядчиком собственными силами в объеме, необходимом и достаточном для обоснования проектных решений. Подрядчик обязан оформить все необходимые разрешения на проведение изыскательских работ в соответствии с действующим законодательством.</w:t>
            </w:r>
          </w:p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Инженерные изыскания выполняются в соответствии с разработанной Подрядчиком и утвержденной Заказчиком Программой инженерных изысканий.</w:t>
            </w:r>
          </w:p>
          <w:p>
            <w:pPr>
              <w:pStyle w:val="NormalWeb"/>
              <w:widowControl w:val="false"/>
              <w:numPr>
                <w:ilvl w:val="0"/>
                <w:numId w:val="6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Состав отчетов по инженерным изысканиям должны соответствовать положениям СП 47.13330.2016, а также СП 11-102-97. СП 11-103-97, СП 11-104-97, СП 11-105-97.</w:t>
            </w:r>
          </w:p>
        </w:tc>
      </w:tr>
      <w:tr>
        <w:trPr>
          <w:trHeight w:val="1355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Требования к сдаваемым материалам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Исполнитель предоставляет Заказчику следующие материалы: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Материалы Раздела 1. «Предпроектный анализ» </w:t>
            </w:r>
            <w:r>
              <w:rPr>
                <w:rFonts w:cs="Arial" w:ascii="Arial" w:hAnsi="Arial"/>
                <w:color w:val="00000A"/>
              </w:rPr>
              <w:t xml:space="preserve">в следующем формате: альбом формата А3 в 2 (двух) экземплярах в печатном виде и в одном экземпляре на электронном носителе (в формате </w:t>
            </w:r>
            <w:r>
              <w:rPr>
                <w:rFonts w:cs="Arial" w:ascii="Arial" w:hAnsi="Arial"/>
                <w:color w:val="000000"/>
              </w:rPr>
              <w:t>PDF, DWG (AutoCAD), TFW (Компас),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текстовые документы в формате Word</w:t>
            </w:r>
            <w:r>
              <w:rPr>
                <w:rFonts w:cs="Arial" w:ascii="Arial" w:hAnsi="Arial"/>
                <w:color w:val="00000A"/>
              </w:rPr>
              <w:t>) на USB-флэш носителе.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 xml:space="preserve">Материалы Раздела 2. «Разработка эскизного проекта» </w:t>
            </w:r>
            <w:r>
              <w:rPr>
                <w:rFonts w:cs="Arial" w:ascii="Arial" w:hAnsi="Arial"/>
                <w:color w:val="00000A"/>
              </w:rPr>
              <w:t xml:space="preserve">в следующем формате: альбом формата А3 в 2 (двух) экземплярах в печатном виде и в одном экземпляре на электронном носителе (в формате </w:t>
            </w:r>
            <w:r>
              <w:rPr>
                <w:rFonts w:cs="Arial" w:ascii="Arial" w:hAnsi="Arial"/>
                <w:color w:val="000000"/>
              </w:rPr>
              <w:t>PDF, DWG (AutoCAD), TFW (Компас),</w:t>
            </w:r>
            <w:r>
              <w:rPr>
                <w:rFonts w:cs="Arial" w:ascii="Arial" w:hAnsi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текстовые документы в формате Word</w:t>
            </w:r>
            <w:r>
              <w:rPr>
                <w:rFonts w:cs="Arial" w:ascii="Arial" w:hAnsi="Arial"/>
                <w:color w:val="00000A"/>
              </w:rPr>
              <w:t>) на USB-флэш носителе.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 xml:space="preserve">Материалы презентации для публичного представления перед жителями Эскизного проекта в следующем формате: альбом формата А3 в 2 (двух) экземплярах в печатном виде и в 1 (одном) экземпляре на электронном носителе (в формате PDF, и в любом из форматов PPT, EPS, </w:t>
            </w:r>
            <w:r>
              <w:rPr>
                <w:rFonts w:cs="Arial" w:ascii="Arial" w:hAnsi="Arial"/>
                <w:color w:val="202124"/>
                <w:shd w:fill="FFFFFF" w:val="clear"/>
              </w:rPr>
              <w:t>INDD</w:t>
            </w:r>
            <w:r>
              <w:rPr>
                <w:rFonts w:cs="Arial" w:ascii="Arial" w:hAnsi="Arial"/>
                <w:color w:val="00000A"/>
              </w:rPr>
              <w:t>) на USB-флэш носителе.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A"/>
              </w:rPr>
              <w:t xml:space="preserve">Отчет о проведении публичной презентации Эскизного проекта в следующем формате: альбом любого удобного формата в 2 (двух) экземплярах в печатном виде и в 1 (одном) экземпляре на электронном носителе (в формате PDF, и в любом из форматов PPT, EPS, </w:t>
            </w:r>
            <w:r>
              <w:rPr>
                <w:rFonts w:cs="Arial" w:ascii="Arial" w:hAnsi="Arial"/>
                <w:color w:val="202124"/>
                <w:shd w:fill="FFFFFF" w:val="clear"/>
              </w:rPr>
              <w:t>INDD</w:t>
            </w:r>
            <w:r>
              <w:rPr>
                <w:rFonts w:cs="Arial" w:ascii="Arial" w:hAnsi="Arial"/>
                <w:color w:val="00000A"/>
              </w:rPr>
              <w:t>) на USB-флэш носителе.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</w:rPr>
              <w:t>Все направляемые материалы в электронном виде должны открываться без помех и без ссылок на внешние объекты (таблицы, рисунки, программы), которые не включены в проект.</w:t>
            </w:r>
          </w:p>
        </w:tc>
      </w:tr>
      <w:tr>
        <w:trPr>
          <w:trHeight w:val="2160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69" w:after="69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Гарантийные обязанности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Гарантийный срок устанавливается сроком ___ лет с даты передачи результатов работ Заказчику (с даты подписания акта сдачи-приемки всего объема выполненных работ). Все отступления от действующих норм и правил, обнаруженные в результате работ устраняются Исполнителем за свой счет.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 объем гарантийных обязательств входят: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устранение опечаток, ошибок в переданных материалах;</w:t>
            </w:r>
          </w:p>
          <w:p>
            <w:pPr>
              <w:pStyle w:val="NormalWeb"/>
              <w:widowControl w:val="false"/>
              <w:numPr>
                <w:ilvl w:val="0"/>
                <w:numId w:val="7"/>
              </w:numPr>
              <w:spacing w:lineRule="auto" w:line="276" w:before="0" w:after="0"/>
              <w:ind w:left="454" w:hanging="34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предоставление устных и письменных консультаций, рекомендаций и разъяснений, а также иной информации, касающейся результатов работы.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Исполнитель несет ответственность за ненадлежащее выполнение работ. При обнаружении недостатков Исполнитель по требованию Заказчика обязан безвозмездно откорректировать документацию, а также возместить Заказчику причиненные убытки в сроки, согласованные Сторонами и зафиксированные в акте с перечнем выявленных недостатков.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Подрядчик в течение всего гарантийного срока обязан хранить на своих серверных ресурсах результаты работы, сданные Заказчику, и другие необходимые данные, сформированные в ходе выполнения работ.</w:t>
            </w:r>
          </w:p>
        </w:tc>
      </w:tr>
      <w:tr>
        <w:trPr>
          <w:trHeight w:val="2160" w:hRule="atLeast"/>
        </w:trPr>
        <w:tc>
          <w:tcPr>
            <w:tcW w:w="622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5.</w:t>
            </w:r>
          </w:p>
        </w:tc>
        <w:tc>
          <w:tcPr>
            <w:tcW w:w="2723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Права на РИД</w:t>
            </w:r>
          </w:p>
        </w:tc>
        <w:tc>
          <w:tcPr>
            <w:tcW w:w="597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Одновременно с передачей результата выполнения работ по настоящему Техническому заданию к Заказчику переходит исключительное право на использование возникших в результате исполнения работ результатов интеллектуальной деятельности, включая (но не ограничиваясь) распространение, публичный показ, практическую реализацию и доведение до всеобщего сведения, с правом привлечения для этого любых третьих лиц.</w:t>
            </w:r>
          </w:p>
          <w:p>
            <w:pPr>
              <w:pStyle w:val="NormalWeb"/>
              <w:widowControl w:val="false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</w:rPr>
              <w:t>Стоимость передаваемых Исполнителем Заказчику прав на результаты интеллектуальной деятельности, возникшие при выполнении работ по Договору входит в цену Договора.</w:t>
            </w:r>
          </w:p>
        </w:tc>
      </w:tr>
    </w:tbl>
    <w:p>
      <w:pPr>
        <w:pStyle w:val="3"/>
        <w:spacing w:before="240" w:after="240"/>
        <w:rPr>
          <w:rFonts w:ascii="Arial" w:hAnsi="Arial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134" w:right="1440" w:header="0" w:top="1440" w:footer="720" w:bottom="1440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  <w:sz w:val="32"/>
        <w:szCs w:val="32"/>
        <w:lang w:val="ru-RU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szCs w:val="32"/>
        <w:lang w:val="ru-RU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szCs w:val="32"/>
        <w:lang w:val="ru-RU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32"/>
        <w:szCs w:val="32"/>
        <w:lang w:val="ru-RU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i w:val="false"/>
        <w:b w:val="false"/>
        <w:szCs w:val="24"/>
        <w:iCs w:val="false"/>
        <w:bCs w:val="false"/>
        <w:rFonts w:ascii="Arial" w:hAnsi="Aria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szCs w:val="3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  <w:szCs w:val="32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  <w:szCs w:val="32"/>
        <w:lang w:val="ru-RU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alibri" w:hAnsi="Calibri"/>
      <w:i/>
      <w:iCs/>
      <w:color w:val="243F60"/>
    </w:rPr>
  </w:style>
  <w:style w:type="paragraph" w:styleId="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Times New Roman" w:hAnsi="Times New Roman"/>
      <w:b/>
      <w:color w:val="272727"/>
      <w:sz w:val="40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Times New Roman" w:hAnsi="Times New Roman"/>
      <w:b/>
      <w:iCs/>
      <w:color w:val="272727"/>
      <w:sz w:val="32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1" w:customStyle="1">
    <w:name w:val="Заголовок 7 Знак"/>
    <w:basedOn w:val="DefaultParagraphFont"/>
    <w:qFormat/>
    <w:rPr>
      <w:rFonts w:ascii="Calibri" w:hAnsi="Calibri" w:eastAsia="Arial" w:cs="Arial"/>
      <w:i/>
      <w:iCs/>
      <w:color w:val="243F60"/>
    </w:rPr>
  </w:style>
  <w:style w:type="character" w:styleId="Style5" w:customStyle="1">
    <w:name w:val="Текст примечания Знак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6" w:customStyle="1">
    <w:name w:val="Интернет-ссылка"/>
    <w:basedOn w:val="DefaultParagraphFont"/>
    <w:rPr>
      <w:color w:val="0000FF"/>
      <w:u w:val="single"/>
    </w:rPr>
  </w:style>
  <w:style w:type="character" w:styleId="Style7" w:customStyle="1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81" w:customStyle="1">
    <w:name w:val="Заголовок 8 Знак"/>
    <w:basedOn w:val="DefaultParagraphFont"/>
    <w:qFormat/>
    <w:rPr>
      <w:rFonts w:ascii="Times New Roman" w:hAnsi="Times New Roman" w:eastAsia="Arial" w:cs="Arial"/>
      <w:b/>
      <w:color w:val="272727"/>
      <w:sz w:val="40"/>
      <w:szCs w:val="21"/>
    </w:rPr>
  </w:style>
  <w:style w:type="character" w:styleId="91" w:customStyle="1">
    <w:name w:val="Заголовок 9 Знак"/>
    <w:basedOn w:val="DefaultParagraphFont"/>
    <w:qFormat/>
    <w:rPr>
      <w:rFonts w:ascii="Times New Roman" w:hAnsi="Times New Roman" w:eastAsia="Arial" w:cs="Arial"/>
      <w:b/>
      <w:iCs/>
      <w:color w:val="272727"/>
      <w:sz w:val="32"/>
      <w:szCs w:val="21"/>
    </w:rPr>
  </w:style>
  <w:style w:type="character" w:styleId="SubtleEmphasis">
    <w:name w:val="Subtle Emphasis"/>
    <w:basedOn w:val="Style8"/>
    <w:qFormat/>
    <w:rPr>
      <w:rFonts w:ascii="Times New Roman" w:hAnsi="Times New Roman"/>
      <w:b/>
      <w:i w:val="false"/>
      <w:iCs w:val="false"/>
      <w:color w:val="000000"/>
      <w:sz w:val="28"/>
    </w:rPr>
  </w:style>
  <w:style w:type="character" w:styleId="Style8">
    <w:name w:val="Выделение"/>
    <w:basedOn w:val="DefaultParagraphFont"/>
    <w:qFormat/>
    <w:rPr>
      <w:rFonts w:ascii="Times New Roman" w:hAnsi="Times New Roman"/>
      <w:i/>
      <w:iCs/>
      <w:sz w:val="2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21" w:customStyle="1">
    <w:name w:val="Цитата 2 Знак"/>
    <w:basedOn w:val="DefaultParagraphFont"/>
    <w:qFormat/>
    <w:rPr>
      <w:i/>
      <w:iCs/>
      <w:color w:val="404040"/>
    </w:rPr>
  </w:style>
  <w:style w:type="character" w:styleId="Style9" w:customStyle="1">
    <w:name w:val="Выделенная цитата Знак"/>
    <w:basedOn w:val="DefaultParagraphFont"/>
    <w:qFormat/>
    <w:rPr>
      <w:i/>
      <w:iCs/>
      <w:color w:val="4F81BD"/>
    </w:rPr>
  </w:style>
  <w:style w:type="character" w:styleId="Style10" w:customStyle="1">
    <w:name w:val="Заголовочный Знак"/>
    <w:basedOn w:val="81"/>
    <w:qFormat/>
    <w:rPr>
      <w:rFonts w:ascii="Times New Roman" w:hAnsi="Times New Roman" w:eastAsia="Arial" w:cs="Times New Roman"/>
      <w:b/>
      <w:color w:val="272727"/>
      <w:sz w:val="28"/>
      <w:szCs w:val="32"/>
    </w:rPr>
  </w:style>
  <w:style w:type="character" w:styleId="IntenseEmphasis">
    <w:name w:val="Intense Emphasis"/>
    <w:basedOn w:val="DefaultParagraphFont"/>
    <w:qFormat/>
    <w:rPr>
      <w:i/>
      <w:iCs/>
      <w:color w:val="4F81BD"/>
    </w:rPr>
  </w:style>
  <w:style w:type="character" w:styleId="Style11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12" w:customStyle="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023d4"/>
    <w:rPr>
      <w:vertAlign w:val="superscript"/>
    </w:rPr>
  </w:style>
  <w:style w:type="character" w:styleId="Appletabspan" w:customStyle="1">
    <w:name w:val="apple-tab-span"/>
    <w:basedOn w:val="DefaultParagraphFont"/>
    <w:qFormat/>
    <w:rPr/>
  </w:style>
  <w:style w:type="character" w:styleId="Style13" w:customStyle="1">
    <w:name w:val="Тема примечания Знак"/>
    <w:basedOn w:val="Style5"/>
    <w:qFormat/>
    <w:rPr>
      <w:b/>
      <w:bCs/>
      <w:sz w:val="20"/>
      <w:szCs w:val="20"/>
    </w:rPr>
  </w:style>
  <w:style w:type="character" w:styleId="Style14" w:customStyle="1">
    <w:name w:val="Символ сноски"/>
    <w:qFormat/>
    <w:rPr/>
  </w:style>
  <w:style w:type="character" w:styleId="Style15" w:customStyle="1">
    <w:name w:val="Маркеры"/>
    <w:qFormat/>
    <w:rPr>
      <w:rFonts w:ascii="Arial" w:hAnsi="Arial" w:eastAsia="OpenSymbol" w:cs="OpenSymbol"/>
      <w:sz w:val="32"/>
      <w:szCs w:val="32"/>
      <w:lang w:val="ru-RU"/>
    </w:rPr>
  </w:style>
  <w:style w:type="character" w:styleId="Style16" w:customStyle="1">
    <w:name w:val="Символ нумерации"/>
    <w:qFormat/>
    <w:rPr>
      <w:rFonts w:ascii="Arial" w:hAnsi="Arial"/>
      <w:b w:val="false"/>
      <w:bCs w:val="false"/>
      <w:i w:val="false"/>
      <w:iCs w:val="false"/>
      <w:sz w:val="24"/>
      <w:szCs w:val="24"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 концевой сноски"/>
    <w:qFormat/>
    <w:rPr/>
  </w:style>
  <w:style w:type="character" w:styleId="Style19" w:customStyle="1">
    <w:name w:val="Верхний колонтитул Знак"/>
    <w:basedOn w:val="DefaultParagraphFont"/>
    <w:link w:val="affa"/>
    <w:uiPriority w:val="99"/>
    <w:qFormat/>
    <w:rsid w:val="00a75f32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Style25">
    <w:name w:val="Title"/>
    <w:basedOn w:val="Normal"/>
    <w:next w:val="Style2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6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TOCHeading">
    <w:name w:val="TOC Heading"/>
    <w:basedOn w:val="1"/>
    <w:next w:val="Normal"/>
    <w:qFormat/>
    <w:pPr>
      <w:spacing w:lineRule="auto" w:line="259" w:before="240" w:after="0"/>
    </w:pPr>
    <w:rPr>
      <w:rFonts w:ascii="Times New Roman" w:hAnsi="Times New Roman"/>
      <w:sz w:val="28"/>
      <w:szCs w:val="32"/>
      <w:lang w:val="ru-RU"/>
    </w:rPr>
  </w:style>
  <w:style w:type="paragraph" w:styleId="11">
    <w:name w:val="TOC 1"/>
    <w:basedOn w:val="Normal"/>
    <w:next w:val="Normal"/>
    <w:autoRedefine/>
    <w:pPr>
      <w:spacing w:before="0" w:after="100"/>
    </w:pPr>
    <w:rPr/>
  </w:style>
  <w:style w:type="paragraph" w:styleId="22">
    <w:name w:val="TOC 2"/>
    <w:basedOn w:val="Normal"/>
    <w:next w:val="Normal"/>
    <w:autoRedefine/>
    <w:pPr>
      <w:spacing w:before="0" w:after="100"/>
      <w:ind w:left="220" w:hanging="0"/>
    </w:pPr>
    <w:rPr/>
  </w:style>
  <w:style w:type="paragraph" w:styleId="31">
    <w:name w:val="TOC 3"/>
    <w:basedOn w:val="Normal"/>
    <w:next w:val="Normal"/>
    <w:autoRedefine/>
    <w:pPr>
      <w:spacing w:before="0" w:after="100"/>
      <w:ind w:left="440" w:hanging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qFormat/>
    <w:pPr>
      <w:spacing w:before="200" w:after="160"/>
      <w:ind w:left="864" w:right="864" w:hanging="0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/>
    </w:rPr>
  </w:style>
  <w:style w:type="paragraph" w:styleId="Style27" w:customStyle="1">
    <w:name w:val="Заголовочный"/>
    <w:basedOn w:val="8"/>
    <w:qFormat/>
    <w:pPr/>
    <w:rPr>
      <w:rFonts w:cs="Times New Roman"/>
      <w:sz w:val="28"/>
      <w:szCs w:val="32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28">
    <w:name w:val="Footnote Text"/>
    <w:basedOn w:val="Normal"/>
    <w:uiPriority w:val="99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Footer"/>
    <w:basedOn w:val="Style29"/>
    <w:pPr/>
    <w:rPr/>
  </w:style>
  <w:style w:type="paragraph" w:styleId="Style31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Style32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3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>
    <w:name w:val="Header"/>
    <w:basedOn w:val="Normal"/>
    <w:link w:val="affb"/>
    <w:uiPriority w:val="99"/>
    <w:unhideWhenUsed/>
    <w:rsid w:val="00a75f32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12" w:customStyle="1">
    <w:name w:val="Обычный1"/>
    <w:qFormat/>
    <w:rsid w:val="000023d4"/>
    <w:pPr>
      <w:widowControl/>
      <w:suppressAutoHyphens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59"/>
    <w:rsid w:val="000023d4"/>
    <w:rPr>
      <w:rFonts w:asciiTheme="minorHAnsi" w:hAnsiTheme="minorHAnsi" w:eastAsiaTheme="minorHAnsi" w:cstheme="minorBidi"/>
      <w:lang w:val="ru-R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F68E-B576-4D5A-821D-9FD404E3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9</Pages>
  <Words>1374</Words>
  <Characters>11102</Characters>
  <CharactersWithSpaces>12308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2022-06-17T02:08:00Z</dcterms:created>
  <dc:creator>Xiaomi</dc:creator>
  <dc:description/>
  <dc:language>ru-RU</dc:language>
  <cp:lastModifiedBy/>
  <cp:lastPrinted>2022-06-16T08:26:00Z</cp:lastPrinted>
  <dcterms:modified xsi:type="dcterms:W3CDTF">2022-06-21T08:32:37Z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